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Ind w:w="70" w:type="dxa"/>
        <w:tblLayout w:type="fixed"/>
        <w:tblCellMar>
          <w:left w:w="70" w:type="dxa"/>
          <w:right w:w="70" w:type="dxa"/>
        </w:tblCellMar>
        <w:tblLook w:val="0000" w:firstRow="0" w:lastRow="0" w:firstColumn="0" w:lastColumn="0" w:noHBand="0" w:noVBand="0"/>
      </w:tblPr>
      <w:tblGrid>
        <w:gridCol w:w="4606"/>
        <w:gridCol w:w="142"/>
        <w:gridCol w:w="4536"/>
      </w:tblGrid>
      <w:tr w:rsidR="002A64D0" w:rsidTr="00BE60B2">
        <w:trPr>
          <w:cantSplit/>
          <w:trHeight w:val="170"/>
        </w:trPr>
        <w:tc>
          <w:tcPr>
            <w:tcW w:w="4748" w:type="dxa"/>
            <w:gridSpan w:val="2"/>
          </w:tcPr>
          <w:p w:rsidR="002A64D0" w:rsidRDefault="002A64D0">
            <w:pPr>
              <w:pStyle w:val="Direction"/>
            </w:pPr>
          </w:p>
        </w:tc>
        <w:tc>
          <w:tcPr>
            <w:tcW w:w="4536" w:type="dxa"/>
            <w:vMerge w:val="restart"/>
          </w:tcPr>
          <w:p w:rsidR="00501DE4" w:rsidRDefault="00501DE4" w:rsidP="00501DE4">
            <w:pPr>
              <w:tabs>
                <w:tab w:val="left" w:pos="2430"/>
              </w:tabs>
              <w:spacing w:before="120"/>
              <w:jc w:val="right"/>
              <w:rPr>
                <w:rFonts w:cs="Arial"/>
                <w:b/>
                <w:sz w:val="27"/>
                <w:szCs w:val="27"/>
              </w:rPr>
            </w:pPr>
          </w:p>
          <w:p w:rsidR="002A64D0" w:rsidRDefault="002A64D0" w:rsidP="00501DE4">
            <w:pPr>
              <w:tabs>
                <w:tab w:val="left" w:pos="2430"/>
              </w:tabs>
              <w:jc w:val="right"/>
            </w:pPr>
          </w:p>
        </w:tc>
      </w:tr>
      <w:tr w:rsidR="002A64D0" w:rsidTr="00BE60B2">
        <w:trPr>
          <w:cantSplit/>
          <w:trHeight w:hRule="exact" w:val="510"/>
        </w:trPr>
        <w:tc>
          <w:tcPr>
            <w:tcW w:w="4748" w:type="dxa"/>
            <w:gridSpan w:val="2"/>
          </w:tcPr>
          <w:p w:rsidR="002A64D0" w:rsidRDefault="002A64D0">
            <w:pPr>
              <w:pStyle w:val="Direction"/>
              <w:rPr>
                <w:b w:val="0"/>
                <w:bCs w:val="0"/>
                <w:sz w:val="16"/>
              </w:rPr>
            </w:pPr>
          </w:p>
        </w:tc>
        <w:tc>
          <w:tcPr>
            <w:tcW w:w="4536" w:type="dxa"/>
            <w:vMerge/>
          </w:tcPr>
          <w:p w:rsidR="002A64D0" w:rsidRDefault="002A64D0">
            <w:pPr>
              <w:tabs>
                <w:tab w:val="left" w:pos="2430"/>
              </w:tabs>
            </w:pPr>
          </w:p>
        </w:tc>
      </w:tr>
      <w:tr w:rsidR="002A64D0" w:rsidTr="00BE60B2">
        <w:trPr>
          <w:trHeight w:hRule="exact" w:val="57"/>
        </w:trPr>
        <w:tc>
          <w:tcPr>
            <w:tcW w:w="4606" w:type="dxa"/>
          </w:tcPr>
          <w:p w:rsidR="002A64D0" w:rsidRDefault="002A64D0">
            <w:pPr>
              <w:pStyle w:val="Service"/>
              <w:spacing w:before="240" w:line="280" w:lineRule="exact"/>
            </w:pPr>
          </w:p>
        </w:tc>
        <w:tc>
          <w:tcPr>
            <w:tcW w:w="4678" w:type="dxa"/>
            <w:gridSpan w:val="2"/>
          </w:tcPr>
          <w:p w:rsidR="002A64D0" w:rsidRDefault="002A64D0">
            <w:pPr>
              <w:spacing w:before="240" w:line="280" w:lineRule="exact"/>
              <w:rPr>
                <w:b/>
                <w:bCs/>
              </w:rPr>
            </w:pPr>
          </w:p>
        </w:tc>
      </w:tr>
      <w:tr w:rsidR="002A64D0" w:rsidTr="00BE60B2">
        <w:tc>
          <w:tcPr>
            <w:tcW w:w="9284" w:type="dxa"/>
            <w:gridSpan w:val="3"/>
          </w:tcPr>
          <w:p w:rsidR="002A64D0" w:rsidRDefault="002A64D0" w:rsidP="00307286">
            <w:pPr>
              <w:pStyle w:val="Service"/>
              <w:spacing w:after="120" w:line="280" w:lineRule="exact"/>
              <w:rPr>
                <w:b/>
                <w:bCs w:val="0"/>
                <w:sz w:val="24"/>
              </w:rPr>
            </w:pPr>
          </w:p>
        </w:tc>
      </w:tr>
      <w:tr w:rsidR="002A64D0" w:rsidTr="00BE60B2">
        <w:trPr>
          <w:trHeight w:val="706"/>
        </w:trPr>
        <w:tc>
          <w:tcPr>
            <w:tcW w:w="9284" w:type="dxa"/>
            <w:gridSpan w:val="3"/>
          </w:tcPr>
          <w:p w:rsidR="002A64D0" w:rsidRDefault="002A64D0" w:rsidP="009F4707">
            <w:pPr>
              <w:pStyle w:val="Service"/>
              <w:spacing w:line="280" w:lineRule="exact"/>
              <w:ind w:right="78"/>
              <w:jc w:val="right"/>
            </w:pPr>
            <w:r>
              <w:t>Paris</w:t>
            </w:r>
            <w:r w:rsidR="009F4707">
              <w:t>, le 19</w:t>
            </w:r>
            <w:r w:rsidR="00F5143D">
              <w:t xml:space="preserve"> </w:t>
            </w:r>
            <w:r w:rsidR="00EA3011">
              <w:t>juin 2013</w:t>
            </w:r>
          </w:p>
        </w:tc>
      </w:tr>
      <w:tr w:rsidR="002A64D0" w:rsidTr="00BE60B2">
        <w:trPr>
          <w:trHeight w:val="675"/>
        </w:trPr>
        <w:tc>
          <w:tcPr>
            <w:tcW w:w="9284" w:type="dxa"/>
            <w:gridSpan w:val="3"/>
            <w:vAlign w:val="center"/>
          </w:tcPr>
          <w:p w:rsidR="00EA3011" w:rsidRPr="005B3755" w:rsidRDefault="00EA3011" w:rsidP="00EA3011">
            <w:pPr>
              <w:pStyle w:val="Notedebasdepage"/>
              <w:rPr>
                <w:rFonts w:cs="Arial"/>
                <w:b/>
                <w:bCs/>
                <w:iCs/>
                <w:color w:val="000000"/>
                <w:sz w:val="18"/>
                <w:szCs w:val="18"/>
              </w:rPr>
            </w:pPr>
            <w:r w:rsidRPr="005B3755">
              <w:rPr>
                <w:rFonts w:cs="Arial"/>
                <w:b/>
                <w:bCs/>
                <w:color w:val="000000"/>
                <w:sz w:val="18"/>
                <w:szCs w:val="18"/>
              </w:rPr>
              <w:t>L’AMF a déclaré à l’ESMA son intention d’appliquer</w:t>
            </w:r>
            <w:r w:rsidR="00886B06" w:rsidRPr="005B3755">
              <w:rPr>
                <w:rStyle w:val="Appelnotedebasdep"/>
                <w:rFonts w:cs="Arial"/>
                <w:b/>
                <w:bCs/>
                <w:color w:val="000000"/>
                <w:sz w:val="18"/>
                <w:szCs w:val="18"/>
              </w:rPr>
              <w:footnoteReference w:id="1"/>
            </w:r>
            <w:r w:rsidRPr="005B3755">
              <w:rPr>
                <w:rFonts w:cs="Arial"/>
                <w:b/>
                <w:bCs/>
                <w:color w:val="000000"/>
                <w:sz w:val="18"/>
                <w:szCs w:val="18"/>
              </w:rPr>
              <w:t xml:space="preserve"> les </w:t>
            </w:r>
            <w:r w:rsidR="00886B06" w:rsidRPr="005B3755">
              <w:rPr>
                <w:rFonts w:cs="Arial"/>
                <w:b/>
                <w:bCs/>
                <w:iCs/>
                <w:color w:val="000000"/>
                <w:sz w:val="18"/>
                <w:szCs w:val="18"/>
              </w:rPr>
              <w:t>orientations</w:t>
            </w:r>
            <w:r w:rsidR="00886B06" w:rsidRPr="005B3755">
              <w:rPr>
                <w:rFonts w:cs="Arial"/>
                <w:b/>
                <w:bCs/>
                <w:i/>
                <w:iCs/>
                <w:color w:val="000000"/>
                <w:sz w:val="18"/>
                <w:szCs w:val="18"/>
              </w:rPr>
              <w:t xml:space="preserve"> </w:t>
            </w:r>
            <w:r w:rsidRPr="005B3755">
              <w:rPr>
                <w:rFonts w:cs="Arial"/>
                <w:b/>
                <w:bCs/>
                <w:iCs/>
                <w:color w:val="000000"/>
                <w:sz w:val="18"/>
                <w:szCs w:val="18"/>
              </w:rPr>
              <w:t xml:space="preserve">relatives </w:t>
            </w:r>
            <w:r w:rsidR="00886B06" w:rsidRPr="005B3755">
              <w:rPr>
                <w:rFonts w:cs="Arial"/>
                <w:b/>
                <w:bCs/>
                <w:iCs/>
                <w:color w:val="000000"/>
                <w:sz w:val="18"/>
                <w:szCs w:val="18"/>
              </w:rPr>
              <w:t>à la tenue de marché</w:t>
            </w:r>
            <w:r w:rsidR="005B3755" w:rsidRPr="005B3755">
              <w:rPr>
                <w:rFonts w:cs="Arial"/>
                <w:b/>
                <w:bCs/>
                <w:iCs/>
                <w:color w:val="000000"/>
                <w:sz w:val="18"/>
                <w:szCs w:val="18"/>
              </w:rPr>
              <w:t xml:space="preserve"> </w:t>
            </w:r>
            <w:r w:rsidR="005B3755" w:rsidRPr="005B3755">
              <w:rPr>
                <w:rFonts w:cs="Arial"/>
                <w:b/>
                <w:sz w:val="18"/>
                <w:szCs w:val="18"/>
              </w:rPr>
              <w:t>lorsque l’ensemble des régulateurs les appliqueront au sein de l’UE</w:t>
            </w:r>
          </w:p>
          <w:p w:rsidR="002A64D0" w:rsidRPr="004D4869" w:rsidRDefault="002A64D0">
            <w:pPr>
              <w:pStyle w:val="titre"/>
              <w:jc w:val="left"/>
              <w:rPr>
                <w:szCs w:val="18"/>
              </w:rPr>
            </w:pPr>
          </w:p>
        </w:tc>
      </w:tr>
    </w:tbl>
    <w:p w:rsidR="00EA3011" w:rsidRPr="00EA3011" w:rsidRDefault="00EA3011" w:rsidP="00EA3011">
      <w:pPr>
        <w:rPr>
          <w:szCs w:val="18"/>
        </w:rPr>
      </w:pPr>
      <w:bookmarkStart w:id="0" w:name="_GoBack"/>
      <w:bookmarkEnd w:id="0"/>
    </w:p>
    <w:p w:rsidR="00EA3011" w:rsidRPr="009F7EEB" w:rsidRDefault="00EA3011" w:rsidP="00EA3011">
      <w:pPr>
        <w:pStyle w:val="Notedebasdepage"/>
        <w:rPr>
          <w:rFonts w:cs="Arial"/>
          <w:b/>
          <w:sz w:val="18"/>
          <w:szCs w:val="18"/>
        </w:rPr>
      </w:pPr>
      <w:r w:rsidRPr="009F7EEB">
        <w:rPr>
          <w:rFonts w:cs="Arial"/>
          <w:b/>
          <w:sz w:val="18"/>
          <w:szCs w:val="18"/>
        </w:rPr>
        <w:t>L’A</w:t>
      </w:r>
      <w:r w:rsidR="009F7EEB">
        <w:rPr>
          <w:rFonts w:cs="Arial"/>
          <w:b/>
          <w:sz w:val="18"/>
          <w:szCs w:val="18"/>
        </w:rPr>
        <w:t>utorité des marchés financiers</w:t>
      </w:r>
      <w:r w:rsidR="003A16D3">
        <w:rPr>
          <w:rFonts w:cs="Arial"/>
          <w:b/>
          <w:sz w:val="18"/>
          <w:szCs w:val="18"/>
        </w:rPr>
        <w:t xml:space="preserve"> a intégré </w:t>
      </w:r>
      <w:r w:rsidR="006037CF" w:rsidRPr="009F7EEB">
        <w:rPr>
          <w:rFonts w:cs="Arial"/>
          <w:b/>
          <w:sz w:val="18"/>
          <w:szCs w:val="18"/>
        </w:rPr>
        <w:t xml:space="preserve">dans sa </w:t>
      </w:r>
      <w:r w:rsidR="006037CF" w:rsidRPr="00BE60B2">
        <w:rPr>
          <w:rFonts w:cs="Arial"/>
          <w:b/>
          <w:color w:val="0000FF"/>
          <w:sz w:val="18"/>
          <w:szCs w:val="18"/>
        </w:rPr>
        <w:t>position n° 2013-09</w:t>
      </w:r>
      <w:r w:rsidR="006037CF">
        <w:rPr>
          <w:rFonts w:cs="Arial"/>
          <w:b/>
          <w:color w:val="0070C0"/>
          <w:sz w:val="18"/>
          <w:szCs w:val="18"/>
        </w:rPr>
        <w:t xml:space="preserve"> </w:t>
      </w:r>
      <w:r w:rsidR="003A16D3">
        <w:rPr>
          <w:rFonts w:cs="Arial"/>
          <w:b/>
          <w:sz w:val="18"/>
          <w:szCs w:val="18"/>
        </w:rPr>
        <w:t>les o</w:t>
      </w:r>
      <w:r w:rsidRPr="009F7EEB">
        <w:rPr>
          <w:rFonts w:cs="Arial"/>
          <w:b/>
          <w:sz w:val="18"/>
          <w:szCs w:val="18"/>
        </w:rPr>
        <w:t>rientations ESMA/2013/74 concernant l’exemption pour les activités de tenue de marché et les opérations de marché prima</w:t>
      </w:r>
      <w:r w:rsidR="008A1209">
        <w:rPr>
          <w:rFonts w:cs="Arial"/>
          <w:b/>
          <w:sz w:val="18"/>
          <w:szCs w:val="18"/>
        </w:rPr>
        <w:t>ire au titre du Règlement (UE) N°</w:t>
      </w:r>
      <w:r w:rsidRPr="009F7EEB">
        <w:rPr>
          <w:rFonts w:cs="Arial"/>
          <w:b/>
          <w:sz w:val="18"/>
          <w:szCs w:val="18"/>
        </w:rPr>
        <w:t>236/2012 du Parlement européen et du Conseil sur la vente à découvert et certains aspects des contrats d’échange sur risque de crédit.</w:t>
      </w:r>
    </w:p>
    <w:p w:rsidR="00EA3011" w:rsidRPr="00EA3011" w:rsidRDefault="00EA3011" w:rsidP="00EA3011">
      <w:pPr>
        <w:autoSpaceDE w:val="0"/>
        <w:autoSpaceDN w:val="0"/>
        <w:adjustRightInd w:val="0"/>
        <w:jc w:val="left"/>
        <w:rPr>
          <w:rFonts w:cs="Arial"/>
          <w:b/>
          <w:bCs/>
          <w:color w:val="000000"/>
          <w:szCs w:val="18"/>
        </w:rPr>
      </w:pPr>
    </w:p>
    <w:p w:rsidR="00EA3011" w:rsidRPr="00EA3011" w:rsidRDefault="006037CF" w:rsidP="00EA3011">
      <w:pPr>
        <w:rPr>
          <w:rFonts w:cs="Arial"/>
          <w:szCs w:val="18"/>
        </w:rPr>
      </w:pPr>
      <w:r>
        <w:rPr>
          <w:rFonts w:cs="Arial"/>
          <w:szCs w:val="18"/>
        </w:rPr>
        <w:t>C</w:t>
      </w:r>
      <w:r w:rsidR="00EA3011" w:rsidRPr="00EA3011">
        <w:rPr>
          <w:rFonts w:cs="Arial"/>
          <w:szCs w:val="18"/>
        </w:rPr>
        <w:t>es orientations fixe</w:t>
      </w:r>
      <w:r w:rsidR="00FF2743">
        <w:rPr>
          <w:rFonts w:cs="Arial"/>
          <w:szCs w:val="18"/>
        </w:rPr>
        <w:t>nt</w:t>
      </w:r>
      <w:r w:rsidR="00EA3011" w:rsidRPr="00EA3011">
        <w:rPr>
          <w:rFonts w:cs="Arial"/>
          <w:szCs w:val="18"/>
        </w:rPr>
        <w:t xml:space="preserve"> des critères et une procédure pour bénéficier de l’exemption</w:t>
      </w:r>
      <w:r w:rsidR="00EA3011" w:rsidRPr="00EA3011">
        <w:rPr>
          <w:rFonts w:cs="Arial"/>
          <w:bCs/>
          <w:szCs w:val="18"/>
        </w:rPr>
        <w:t xml:space="preserve"> </w:t>
      </w:r>
      <w:r w:rsidR="00EA3011" w:rsidRPr="00EA3011">
        <w:rPr>
          <w:rFonts w:cs="Arial"/>
          <w:szCs w:val="18"/>
        </w:rPr>
        <w:t>aux ob</w:t>
      </w:r>
      <w:r w:rsidR="009F7EEB">
        <w:rPr>
          <w:rFonts w:cs="Arial"/>
          <w:szCs w:val="18"/>
        </w:rPr>
        <w:t>ligations de transparence et aux exigences destinées à</w:t>
      </w:r>
      <w:r w:rsidR="00EA3011">
        <w:rPr>
          <w:rFonts w:cs="Arial"/>
          <w:szCs w:val="18"/>
        </w:rPr>
        <w:t xml:space="preserve"> éviter les suspens (</w:t>
      </w:r>
      <w:proofErr w:type="spellStart"/>
      <w:r w:rsidR="00EA3011" w:rsidRPr="00EA3011">
        <w:rPr>
          <w:rFonts w:cs="Arial"/>
          <w:i/>
          <w:szCs w:val="18"/>
        </w:rPr>
        <w:t>locate</w:t>
      </w:r>
      <w:proofErr w:type="spellEnd"/>
      <w:r w:rsidR="00EA3011" w:rsidRPr="00EA3011">
        <w:rPr>
          <w:rFonts w:cs="Arial"/>
          <w:i/>
          <w:szCs w:val="18"/>
        </w:rPr>
        <w:t xml:space="preserve"> </w:t>
      </w:r>
      <w:proofErr w:type="spellStart"/>
      <w:r w:rsidR="00EA3011" w:rsidRPr="00EA3011">
        <w:rPr>
          <w:rFonts w:cs="Arial"/>
          <w:i/>
          <w:szCs w:val="18"/>
        </w:rPr>
        <w:t>rule</w:t>
      </w:r>
      <w:proofErr w:type="spellEnd"/>
      <w:r w:rsidR="00EA3011">
        <w:rPr>
          <w:rFonts w:cs="Arial"/>
          <w:i/>
          <w:szCs w:val="18"/>
        </w:rPr>
        <w:t>)</w:t>
      </w:r>
      <w:r w:rsidR="00EA3011" w:rsidRPr="00EA3011">
        <w:rPr>
          <w:rFonts w:cs="Arial"/>
          <w:i/>
          <w:szCs w:val="18"/>
        </w:rPr>
        <w:t xml:space="preserve"> </w:t>
      </w:r>
      <w:r w:rsidR="00EA3011" w:rsidRPr="00EA3011">
        <w:rPr>
          <w:rFonts w:cs="Arial"/>
          <w:bCs/>
          <w:szCs w:val="18"/>
        </w:rPr>
        <w:t>pour les activités de tenue de marché et les opérations de marché primaire telles que définies</w:t>
      </w:r>
      <w:r w:rsidR="008A1209">
        <w:rPr>
          <w:rFonts w:cs="Arial"/>
          <w:szCs w:val="18"/>
        </w:rPr>
        <w:t xml:space="preserve"> dans le Règlement (UE) N</w:t>
      </w:r>
      <w:r w:rsidR="00EA3011" w:rsidRPr="00EA3011">
        <w:rPr>
          <w:rFonts w:cs="Arial"/>
          <w:szCs w:val="18"/>
        </w:rPr>
        <w:t xml:space="preserve">°236/2012. </w:t>
      </w:r>
    </w:p>
    <w:p w:rsidR="00EA3011" w:rsidRPr="00EA3011" w:rsidRDefault="00EA3011" w:rsidP="00EA3011">
      <w:pPr>
        <w:autoSpaceDE w:val="0"/>
        <w:autoSpaceDN w:val="0"/>
        <w:adjustRightInd w:val="0"/>
        <w:jc w:val="left"/>
        <w:rPr>
          <w:rFonts w:cs="Arial"/>
          <w:b/>
          <w:bCs/>
          <w:color w:val="000000"/>
          <w:szCs w:val="18"/>
        </w:rPr>
      </w:pPr>
    </w:p>
    <w:p w:rsidR="00EA3011" w:rsidRPr="00EA3011" w:rsidRDefault="00EA3011" w:rsidP="00EA3011">
      <w:pPr>
        <w:rPr>
          <w:rFonts w:cs="Arial"/>
          <w:szCs w:val="18"/>
        </w:rPr>
      </w:pPr>
      <w:r>
        <w:rPr>
          <w:rFonts w:cs="Arial"/>
          <w:szCs w:val="18"/>
        </w:rPr>
        <w:t xml:space="preserve">Ces </w:t>
      </w:r>
      <w:r w:rsidR="008A1209" w:rsidRPr="008A1209">
        <w:rPr>
          <w:rFonts w:cs="Arial"/>
          <w:szCs w:val="18"/>
        </w:rPr>
        <w:t>orientations</w:t>
      </w:r>
      <w:r w:rsidRPr="00EA3011">
        <w:rPr>
          <w:rFonts w:cs="Arial"/>
          <w:szCs w:val="18"/>
        </w:rPr>
        <w:t xml:space="preserve"> sont organisées autour de quatre thématiques : </w:t>
      </w:r>
    </w:p>
    <w:p w:rsidR="00EA3011" w:rsidRPr="00EA3011" w:rsidRDefault="008A1209" w:rsidP="00EA3011">
      <w:pPr>
        <w:numPr>
          <w:ilvl w:val="0"/>
          <w:numId w:val="29"/>
        </w:numPr>
        <w:rPr>
          <w:rFonts w:cs="Arial"/>
          <w:szCs w:val="18"/>
        </w:rPr>
      </w:pPr>
      <w:r>
        <w:rPr>
          <w:rFonts w:cs="Arial"/>
          <w:szCs w:val="18"/>
        </w:rPr>
        <w:t>l</w:t>
      </w:r>
      <w:r w:rsidR="00EA3011" w:rsidRPr="00EA3011">
        <w:rPr>
          <w:rFonts w:cs="Arial"/>
          <w:szCs w:val="18"/>
        </w:rPr>
        <w:t>a définition et le champ d’application de l’exemption pour les activités de tenue de marché</w:t>
      </w:r>
      <w:r w:rsidR="00EA3011">
        <w:rPr>
          <w:rFonts w:cs="Arial"/>
          <w:szCs w:val="18"/>
        </w:rPr>
        <w:t> ;</w:t>
      </w:r>
    </w:p>
    <w:p w:rsidR="00EA3011" w:rsidRPr="00EA3011" w:rsidRDefault="008A1209" w:rsidP="00EA3011">
      <w:pPr>
        <w:numPr>
          <w:ilvl w:val="0"/>
          <w:numId w:val="29"/>
        </w:numPr>
        <w:rPr>
          <w:rFonts w:cs="Arial"/>
          <w:szCs w:val="18"/>
        </w:rPr>
      </w:pPr>
      <w:r>
        <w:rPr>
          <w:rFonts w:cs="Arial"/>
          <w:szCs w:val="18"/>
        </w:rPr>
        <w:t>l</w:t>
      </w:r>
      <w:r w:rsidR="00EA3011" w:rsidRPr="00EA3011">
        <w:rPr>
          <w:rFonts w:cs="Arial"/>
          <w:szCs w:val="18"/>
        </w:rPr>
        <w:t>a désignation de l’autorité compétente à qui adresser la notification</w:t>
      </w:r>
      <w:r w:rsidR="00EA3011">
        <w:rPr>
          <w:rFonts w:cs="Arial"/>
          <w:szCs w:val="18"/>
        </w:rPr>
        <w:t> ;</w:t>
      </w:r>
    </w:p>
    <w:p w:rsidR="00EA3011" w:rsidRPr="00EA3011" w:rsidRDefault="008A1209" w:rsidP="00EA3011">
      <w:pPr>
        <w:numPr>
          <w:ilvl w:val="0"/>
          <w:numId w:val="29"/>
        </w:numPr>
        <w:rPr>
          <w:rFonts w:cs="Arial"/>
          <w:szCs w:val="18"/>
        </w:rPr>
      </w:pPr>
      <w:r>
        <w:rPr>
          <w:rFonts w:cs="Arial"/>
          <w:szCs w:val="18"/>
        </w:rPr>
        <w:t>l</w:t>
      </w:r>
      <w:r w:rsidR="00EA3011" w:rsidRPr="00EA3011">
        <w:rPr>
          <w:rFonts w:cs="Arial"/>
          <w:szCs w:val="18"/>
        </w:rPr>
        <w:t>es principes généraux et les critères d’admissibilité à l’exemption</w:t>
      </w:r>
      <w:r w:rsidR="00EA3011">
        <w:rPr>
          <w:rFonts w:cs="Arial"/>
          <w:szCs w:val="18"/>
        </w:rPr>
        <w:t> ;</w:t>
      </w:r>
    </w:p>
    <w:p w:rsidR="00EA3011" w:rsidRDefault="008A1209" w:rsidP="00EA3011">
      <w:pPr>
        <w:numPr>
          <w:ilvl w:val="0"/>
          <w:numId w:val="29"/>
        </w:numPr>
        <w:rPr>
          <w:rFonts w:cs="Arial"/>
          <w:szCs w:val="18"/>
        </w:rPr>
      </w:pPr>
      <w:r>
        <w:rPr>
          <w:rFonts w:cs="Arial"/>
          <w:szCs w:val="18"/>
        </w:rPr>
        <w:t>l</w:t>
      </w:r>
      <w:r w:rsidR="00EA3011" w:rsidRPr="00EA3011">
        <w:rPr>
          <w:rFonts w:cs="Arial"/>
          <w:szCs w:val="18"/>
        </w:rPr>
        <w:t>a procédure d’exemption</w:t>
      </w:r>
      <w:r w:rsidR="00EA3011">
        <w:rPr>
          <w:rFonts w:cs="Arial"/>
          <w:szCs w:val="18"/>
        </w:rPr>
        <w:t>.</w:t>
      </w:r>
    </w:p>
    <w:p w:rsidR="00886B06" w:rsidRDefault="00886B06" w:rsidP="008F42C5">
      <w:pPr>
        <w:rPr>
          <w:rFonts w:cs="Arial"/>
          <w:szCs w:val="18"/>
        </w:rPr>
      </w:pPr>
    </w:p>
    <w:p w:rsidR="00F5143D" w:rsidRDefault="00886B06" w:rsidP="00886B06">
      <w:pPr>
        <w:rPr>
          <w:rFonts w:cs="Arial"/>
          <w:b/>
          <w:szCs w:val="18"/>
        </w:rPr>
      </w:pPr>
      <w:r w:rsidRPr="001F3338">
        <w:rPr>
          <w:rFonts w:cs="Arial"/>
          <w:b/>
          <w:szCs w:val="18"/>
        </w:rPr>
        <w:t xml:space="preserve">L’AMF </w:t>
      </w:r>
      <w:r w:rsidR="008F42C5">
        <w:rPr>
          <w:rFonts w:cs="Arial"/>
          <w:b/>
          <w:szCs w:val="18"/>
        </w:rPr>
        <w:t>adhère pleinement à ces orientations</w:t>
      </w:r>
      <w:r w:rsidRPr="001F3338">
        <w:rPr>
          <w:rFonts w:cs="Arial"/>
          <w:b/>
          <w:szCs w:val="18"/>
        </w:rPr>
        <w:t xml:space="preserve">. </w:t>
      </w:r>
      <w:r w:rsidR="008F42C5">
        <w:rPr>
          <w:rFonts w:cs="Arial"/>
          <w:b/>
          <w:szCs w:val="18"/>
        </w:rPr>
        <w:t xml:space="preserve">Toutefois, </w:t>
      </w:r>
      <w:r w:rsidR="00FD6821">
        <w:rPr>
          <w:rFonts w:cs="Arial"/>
          <w:b/>
          <w:szCs w:val="18"/>
        </w:rPr>
        <w:t>elle précise</w:t>
      </w:r>
      <w:r w:rsidRPr="006037CF">
        <w:rPr>
          <w:rFonts w:cs="Arial"/>
          <w:b/>
          <w:szCs w:val="18"/>
        </w:rPr>
        <w:t xml:space="preserve"> que l’entrée en application de ces orientations n’interviendra que lorsque l’ensemble des régulateurs les appliqueront au sein de l’UE.</w:t>
      </w:r>
      <w:r w:rsidR="00FD6821">
        <w:rPr>
          <w:rFonts w:cs="Arial"/>
          <w:b/>
          <w:szCs w:val="18"/>
        </w:rPr>
        <w:t xml:space="preserve"> </w:t>
      </w:r>
      <w:r>
        <w:rPr>
          <w:rFonts w:cs="Arial"/>
          <w:b/>
          <w:szCs w:val="18"/>
        </w:rPr>
        <w:t>Cette décision a été prise</w:t>
      </w:r>
      <w:r w:rsidRPr="001F3338">
        <w:rPr>
          <w:rFonts w:cs="Arial"/>
          <w:b/>
          <w:szCs w:val="18"/>
        </w:rPr>
        <w:t xml:space="preserve"> </w:t>
      </w:r>
      <w:r w:rsidR="00F5143D">
        <w:rPr>
          <w:rFonts w:cs="Arial"/>
          <w:b/>
          <w:szCs w:val="18"/>
        </w:rPr>
        <w:t xml:space="preserve">afin de : </w:t>
      </w:r>
    </w:p>
    <w:p w:rsidR="00F5143D" w:rsidRDefault="00F5143D" w:rsidP="005B3755">
      <w:pPr>
        <w:pStyle w:val="Paragraphedeliste"/>
        <w:numPr>
          <w:ilvl w:val="0"/>
          <w:numId w:val="31"/>
        </w:numPr>
        <w:rPr>
          <w:rFonts w:cs="Arial"/>
          <w:b/>
          <w:szCs w:val="18"/>
        </w:rPr>
      </w:pPr>
      <w:r w:rsidRPr="005B3755">
        <w:rPr>
          <w:rFonts w:cs="Arial"/>
          <w:b/>
          <w:szCs w:val="18"/>
        </w:rPr>
        <w:t>ne pas introduire une distorsion de compétitivité entre l’industrie financière française et celle des autres pays de l’UE dont les régulateurs ne se soumettraient pas ou incomplètement aux orientations de l’ESMA</w:t>
      </w:r>
      <w:r w:rsidR="009F4707">
        <w:rPr>
          <w:rFonts w:cs="Arial"/>
          <w:b/>
          <w:szCs w:val="18"/>
        </w:rPr>
        <w:t> ;</w:t>
      </w:r>
    </w:p>
    <w:p w:rsidR="00886B06" w:rsidRPr="005B3755" w:rsidRDefault="008A1209" w:rsidP="005B3755">
      <w:pPr>
        <w:pStyle w:val="Paragraphedeliste"/>
        <w:numPr>
          <w:ilvl w:val="0"/>
          <w:numId w:val="31"/>
        </w:numPr>
        <w:rPr>
          <w:rFonts w:cs="Arial"/>
          <w:b/>
          <w:szCs w:val="18"/>
        </w:rPr>
      </w:pPr>
      <w:r w:rsidRPr="005B3755">
        <w:rPr>
          <w:rFonts w:cs="Arial"/>
          <w:b/>
          <w:szCs w:val="18"/>
        </w:rPr>
        <w:t>promouvoir une</w:t>
      </w:r>
      <w:r w:rsidR="00886B06" w:rsidRPr="005B3755">
        <w:rPr>
          <w:rFonts w:cs="Arial"/>
          <w:b/>
          <w:szCs w:val="18"/>
        </w:rPr>
        <w:t xml:space="preserve"> application harmonisée desdites orientations au sein de l’UE.</w:t>
      </w:r>
    </w:p>
    <w:p w:rsidR="00886B06" w:rsidRDefault="00886B06" w:rsidP="00886B06">
      <w:pPr>
        <w:rPr>
          <w:rFonts w:cs="Arial"/>
          <w:szCs w:val="18"/>
        </w:rPr>
      </w:pPr>
    </w:p>
    <w:p w:rsidR="00DC6F69" w:rsidRDefault="00DC6F69" w:rsidP="008F42C5">
      <w:pPr>
        <w:rPr>
          <w:rFonts w:cs="Arial"/>
        </w:rPr>
      </w:pPr>
    </w:p>
    <w:sectPr w:rsidR="00DC6F69" w:rsidSect="00307286">
      <w:headerReference w:type="default" r:id="rId9"/>
      <w:headerReference w:type="first" r:id="rId10"/>
      <w:type w:val="continuous"/>
      <w:pgSz w:w="11906" w:h="16838"/>
      <w:pgMar w:top="1701" w:right="1701" w:bottom="1418" w:left="1701" w:header="709" w:footer="709" w:gutter="0"/>
      <w:cols w:space="709"/>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E5" w:rsidRDefault="001267E5">
      <w:r>
        <w:separator/>
      </w:r>
    </w:p>
  </w:endnote>
  <w:endnote w:type="continuationSeparator" w:id="0">
    <w:p w:rsidR="001267E5" w:rsidRDefault="0012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E5" w:rsidRDefault="001267E5">
      <w:r>
        <w:separator/>
      </w:r>
    </w:p>
  </w:footnote>
  <w:footnote w:type="continuationSeparator" w:id="0">
    <w:p w:rsidR="001267E5" w:rsidRDefault="001267E5">
      <w:r>
        <w:continuationSeparator/>
      </w:r>
    </w:p>
  </w:footnote>
  <w:footnote w:id="1">
    <w:p w:rsidR="00886B06" w:rsidRDefault="00886B06">
      <w:pPr>
        <w:pStyle w:val="Notedebasdepage"/>
      </w:pPr>
      <w:r>
        <w:rPr>
          <w:rStyle w:val="Appelnotedebasdep"/>
        </w:rPr>
        <w:footnoteRef/>
      </w:r>
      <w:r>
        <w:t xml:space="preserve"> Conformément à l’article 16 du Règlement (UE) N°1095/2010 du Parlement européen et du Conseil</w:t>
      </w:r>
      <w:r w:rsidR="0079653E">
        <w:t xml:space="preserve"> </w:t>
      </w:r>
      <w:r>
        <w:t>instituant une Autorité européenne de surveillance (Autorité européenne des marchés financiers).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D0" w:rsidRDefault="008F42C5" w:rsidP="000D1770">
    <w:pPr>
      <w:jc w:val="left"/>
      <w:rPr>
        <w:sz w:val="16"/>
      </w:rPr>
    </w:pPr>
    <w:r>
      <w:rPr>
        <w:noProof/>
      </w:rPr>
      <w:drawing>
        <wp:anchor distT="0" distB="0" distL="114300" distR="114300" simplePos="0" relativeHeight="251658752" behindDoc="0" locked="0" layoutInCell="1" allowOverlap="1">
          <wp:simplePos x="0" y="0"/>
          <wp:positionH relativeFrom="column">
            <wp:posOffset>-342900</wp:posOffset>
          </wp:positionH>
          <wp:positionV relativeFrom="paragraph">
            <wp:posOffset>9525</wp:posOffset>
          </wp:positionV>
          <wp:extent cx="797560" cy="548640"/>
          <wp:effectExtent l="0" t="0" r="0" b="0"/>
          <wp:wrapNone/>
          <wp:docPr id="13" name="Image 13" descr="AMF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F LOGO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4D0" w:rsidRDefault="002A64D0"/>
  <w:p w:rsidR="002A64D0" w:rsidRDefault="002A64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07" w:rsidRDefault="009F4707">
    <w:pPr>
      <w:pStyle w:val="En-tte"/>
    </w:pPr>
    <w:r>
      <w:rPr>
        <w:noProof/>
      </w:rPr>
      <w:drawing>
        <wp:anchor distT="0" distB="0" distL="114300" distR="114300" simplePos="0" relativeHeight="251659776" behindDoc="1" locked="0" layoutInCell="1" allowOverlap="1">
          <wp:simplePos x="0" y="0"/>
          <wp:positionH relativeFrom="column">
            <wp:posOffset>-34853</wp:posOffset>
          </wp:positionH>
          <wp:positionV relativeFrom="paragraph">
            <wp:posOffset>131445</wp:posOffset>
          </wp:positionV>
          <wp:extent cx="1089660" cy="753745"/>
          <wp:effectExtent l="0" t="0" r="0" b="8255"/>
          <wp:wrapNone/>
          <wp:docPr id="2" name="Image 2" descr="AMF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 LOGO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53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4809E4"/>
    <w:lvl w:ilvl="0">
      <w:start w:val="1"/>
      <w:numFmt w:val="decimal"/>
      <w:lvlText w:val="%1."/>
      <w:lvlJc w:val="left"/>
      <w:pPr>
        <w:tabs>
          <w:tab w:val="num" w:pos="1492"/>
        </w:tabs>
        <w:ind w:left="1492" w:hanging="360"/>
      </w:pPr>
    </w:lvl>
  </w:abstractNum>
  <w:abstractNum w:abstractNumId="1">
    <w:nsid w:val="FFFFFF7D"/>
    <w:multiLevelType w:val="singleLevel"/>
    <w:tmpl w:val="F5DEFE2A"/>
    <w:lvl w:ilvl="0">
      <w:start w:val="1"/>
      <w:numFmt w:val="decimal"/>
      <w:lvlText w:val="%1."/>
      <w:lvlJc w:val="left"/>
      <w:pPr>
        <w:tabs>
          <w:tab w:val="num" w:pos="1209"/>
        </w:tabs>
        <w:ind w:left="1209" w:hanging="360"/>
      </w:pPr>
    </w:lvl>
  </w:abstractNum>
  <w:abstractNum w:abstractNumId="2">
    <w:nsid w:val="FFFFFF7E"/>
    <w:multiLevelType w:val="singleLevel"/>
    <w:tmpl w:val="0456B694"/>
    <w:lvl w:ilvl="0">
      <w:start w:val="1"/>
      <w:numFmt w:val="decimal"/>
      <w:lvlText w:val="%1."/>
      <w:lvlJc w:val="left"/>
      <w:pPr>
        <w:tabs>
          <w:tab w:val="num" w:pos="926"/>
        </w:tabs>
        <w:ind w:left="926" w:hanging="360"/>
      </w:pPr>
    </w:lvl>
  </w:abstractNum>
  <w:abstractNum w:abstractNumId="3">
    <w:nsid w:val="FFFFFF7F"/>
    <w:multiLevelType w:val="singleLevel"/>
    <w:tmpl w:val="08AE6B98"/>
    <w:lvl w:ilvl="0">
      <w:start w:val="1"/>
      <w:numFmt w:val="decimal"/>
      <w:lvlText w:val="%1."/>
      <w:lvlJc w:val="left"/>
      <w:pPr>
        <w:tabs>
          <w:tab w:val="num" w:pos="643"/>
        </w:tabs>
        <w:ind w:left="643" w:hanging="360"/>
      </w:pPr>
    </w:lvl>
  </w:abstractNum>
  <w:abstractNum w:abstractNumId="4">
    <w:nsid w:val="FFFFFF80"/>
    <w:multiLevelType w:val="singleLevel"/>
    <w:tmpl w:val="8384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FAB0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F4E7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C81E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CE7A52"/>
    <w:lvl w:ilvl="0">
      <w:start w:val="1"/>
      <w:numFmt w:val="decimal"/>
      <w:lvlText w:val="%1."/>
      <w:lvlJc w:val="left"/>
      <w:pPr>
        <w:tabs>
          <w:tab w:val="num" w:pos="360"/>
        </w:tabs>
        <w:ind w:left="360" w:hanging="360"/>
      </w:pPr>
    </w:lvl>
  </w:abstractNum>
  <w:abstractNum w:abstractNumId="9">
    <w:nsid w:val="FFFFFF89"/>
    <w:multiLevelType w:val="singleLevel"/>
    <w:tmpl w:val="EAE2989A"/>
    <w:lvl w:ilvl="0">
      <w:start w:val="1"/>
      <w:numFmt w:val="bullet"/>
      <w:lvlText w:val=""/>
      <w:lvlJc w:val="left"/>
      <w:pPr>
        <w:tabs>
          <w:tab w:val="num" w:pos="360"/>
        </w:tabs>
        <w:ind w:left="360" w:hanging="360"/>
      </w:pPr>
      <w:rPr>
        <w:rFonts w:ascii="Symbol" w:hAnsi="Symbol" w:hint="default"/>
      </w:rPr>
    </w:lvl>
  </w:abstractNum>
  <w:abstractNum w:abstractNumId="10">
    <w:nsid w:val="04556C69"/>
    <w:multiLevelType w:val="hybridMultilevel"/>
    <w:tmpl w:val="9550B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0231A0"/>
    <w:multiLevelType w:val="hybridMultilevel"/>
    <w:tmpl w:val="B2D661A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C293103"/>
    <w:multiLevelType w:val="hybridMultilevel"/>
    <w:tmpl w:val="FFD09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46D0B"/>
    <w:multiLevelType w:val="hybridMultilevel"/>
    <w:tmpl w:val="F8BE3600"/>
    <w:lvl w:ilvl="0" w:tplc="040C000F">
      <w:start w:val="1"/>
      <w:numFmt w:val="decimal"/>
      <w:lvlText w:val="%1."/>
      <w:lvlJc w:val="left"/>
      <w:pPr>
        <w:tabs>
          <w:tab w:val="num" w:pos="720"/>
        </w:tabs>
        <w:ind w:left="720" w:hanging="360"/>
      </w:pPr>
      <w:rPr>
        <w:rFonts w:hint="default"/>
      </w:rPr>
    </w:lvl>
    <w:lvl w:ilvl="1" w:tplc="2F7C0DF2">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65E4F6B"/>
    <w:multiLevelType w:val="multilevel"/>
    <w:tmpl w:val="99A6DA82"/>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494E04A4"/>
    <w:multiLevelType w:val="hybridMultilevel"/>
    <w:tmpl w:val="B4D85D96"/>
    <w:lvl w:ilvl="0" w:tplc="308CD862">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F77495C"/>
    <w:multiLevelType w:val="hybridMultilevel"/>
    <w:tmpl w:val="F326C10A"/>
    <w:lvl w:ilvl="0" w:tplc="2FA2C422">
      <w:start w:val="13"/>
      <w:numFmt w:val="bullet"/>
      <w:lvlText w:val="-"/>
      <w:lvlJc w:val="left"/>
      <w:pPr>
        <w:tabs>
          <w:tab w:val="num" w:pos="720"/>
        </w:tabs>
        <w:ind w:left="720" w:hanging="36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A930D15"/>
    <w:multiLevelType w:val="multilevel"/>
    <w:tmpl w:val="62B89B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C8B7803"/>
    <w:multiLevelType w:val="hybridMultilevel"/>
    <w:tmpl w:val="B372914C"/>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7B3CAA"/>
    <w:multiLevelType w:val="hybridMultilevel"/>
    <w:tmpl w:val="469C57E2"/>
    <w:lvl w:ilvl="0" w:tplc="E7AEC60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7"/>
  </w:num>
  <w:num w:numId="14">
    <w:abstractNumId w:val="14"/>
  </w:num>
  <w:num w:numId="15">
    <w:abstractNumId w:val="19"/>
  </w:num>
  <w:num w:numId="16">
    <w:abstractNumId w:val="13"/>
  </w:num>
  <w:num w:numId="17">
    <w:abstractNumId w:val="18"/>
  </w:num>
  <w:num w:numId="18">
    <w:abstractNumId w:val="11"/>
  </w:num>
  <w:num w:numId="19">
    <w:abstractNumId w:val="14"/>
  </w:num>
  <w:num w:numId="20">
    <w:abstractNumId w:val="14"/>
  </w:num>
  <w:num w:numId="21">
    <w:abstractNumId w:val="14"/>
  </w:num>
  <w:num w:numId="22">
    <w:abstractNumId w:val="14"/>
  </w:num>
  <w:num w:numId="23">
    <w:abstractNumId w:val="18"/>
  </w:num>
  <w:num w:numId="24">
    <w:abstractNumId w:val="11"/>
  </w:num>
  <w:num w:numId="25">
    <w:abstractNumId w:val="14"/>
  </w:num>
  <w:num w:numId="26">
    <w:abstractNumId w:val="14"/>
  </w:num>
  <w:num w:numId="27">
    <w:abstractNumId w:val="14"/>
  </w:num>
  <w:num w:numId="28">
    <w:abstractNumId w:val="14"/>
  </w:num>
  <w:num w:numId="29">
    <w:abstractNumId w:val="15"/>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69"/>
    <w:rsid w:val="00065187"/>
    <w:rsid w:val="000D1770"/>
    <w:rsid w:val="000E78A0"/>
    <w:rsid w:val="001215C7"/>
    <w:rsid w:val="001267E5"/>
    <w:rsid w:val="0013001C"/>
    <w:rsid w:val="00222C8E"/>
    <w:rsid w:val="002300DB"/>
    <w:rsid w:val="0029443A"/>
    <w:rsid w:val="002A64D0"/>
    <w:rsid w:val="002D43A9"/>
    <w:rsid w:val="00302674"/>
    <w:rsid w:val="003060E2"/>
    <w:rsid w:val="00307286"/>
    <w:rsid w:val="003A16D3"/>
    <w:rsid w:val="003D05F9"/>
    <w:rsid w:val="003F045E"/>
    <w:rsid w:val="00401089"/>
    <w:rsid w:val="00452001"/>
    <w:rsid w:val="004C16DB"/>
    <w:rsid w:val="004D4869"/>
    <w:rsid w:val="004E1EB0"/>
    <w:rsid w:val="00501DE4"/>
    <w:rsid w:val="0051143F"/>
    <w:rsid w:val="0057391A"/>
    <w:rsid w:val="00585934"/>
    <w:rsid w:val="005B3755"/>
    <w:rsid w:val="005D38D3"/>
    <w:rsid w:val="005F73E9"/>
    <w:rsid w:val="006037CF"/>
    <w:rsid w:val="006235D0"/>
    <w:rsid w:val="00624F42"/>
    <w:rsid w:val="00627009"/>
    <w:rsid w:val="00632355"/>
    <w:rsid w:val="006A6F29"/>
    <w:rsid w:val="00757E1F"/>
    <w:rsid w:val="00771A4C"/>
    <w:rsid w:val="0079653E"/>
    <w:rsid w:val="00797812"/>
    <w:rsid w:val="007A0284"/>
    <w:rsid w:val="008214EB"/>
    <w:rsid w:val="00886B06"/>
    <w:rsid w:val="008A1209"/>
    <w:rsid w:val="008A4540"/>
    <w:rsid w:val="008F2F86"/>
    <w:rsid w:val="008F42C5"/>
    <w:rsid w:val="00901689"/>
    <w:rsid w:val="009038DD"/>
    <w:rsid w:val="0099151E"/>
    <w:rsid w:val="00994316"/>
    <w:rsid w:val="009C343A"/>
    <w:rsid w:val="009E0D74"/>
    <w:rsid w:val="009E1897"/>
    <w:rsid w:val="009F4707"/>
    <w:rsid w:val="009F7EEB"/>
    <w:rsid w:val="00A41BEB"/>
    <w:rsid w:val="00A441A8"/>
    <w:rsid w:val="00AA3DD3"/>
    <w:rsid w:val="00AF72AB"/>
    <w:rsid w:val="00B44EEC"/>
    <w:rsid w:val="00BE60B2"/>
    <w:rsid w:val="00C013B1"/>
    <w:rsid w:val="00C05B4C"/>
    <w:rsid w:val="00D06551"/>
    <w:rsid w:val="00D0752A"/>
    <w:rsid w:val="00D54314"/>
    <w:rsid w:val="00DB2D45"/>
    <w:rsid w:val="00DC6F69"/>
    <w:rsid w:val="00E06A73"/>
    <w:rsid w:val="00E71EE9"/>
    <w:rsid w:val="00EA3011"/>
    <w:rsid w:val="00EF2180"/>
    <w:rsid w:val="00F34C9F"/>
    <w:rsid w:val="00F5143D"/>
    <w:rsid w:val="00FD6821"/>
    <w:rsid w:val="00FF2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hAnsi="Arial"/>
      <w:sz w:val="18"/>
    </w:rPr>
  </w:style>
  <w:style w:type="paragraph" w:styleId="Titre1">
    <w:name w:val="heading 1"/>
    <w:basedOn w:val="Normal"/>
    <w:next w:val="Normal"/>
    <w:qFormat/>
    <w:pPr>
      <w:keepNext/>
      <w:numPr>
        <w:numId w:val="25"/>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26"/>
      </w:numPr>
      <w:tabs>
        <w:tab w:val="clear" w:pos="1080"/>
        <w:tab w:val="left" w:pos="737"/>
      </w:tabs>
      <w:ind w:left="737" w:hanging="737"/>
      <w:outlineLvl w:val="1"/>
    </w:pPr>
  </w:style>
  <w:style w:type="paragraph" w:styleId="Titre3">
    <w:name w:val="heading 3"/>
    <w:basedOn w:val="Normal"/>
    <w:next w:val="Normal"/>
    <w:qFormat/>
    <w:pPr>
      <w:keepNext/>
      <w:numPr>
        <w:ilvl w:val="2"/>
        <w:numId w:val="27"/>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28"/>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rPr>
      <w:bCs/>
    </w:rPr>
  </w:style>
  <w:style w:type="paragraph" w:customStyle="1" w:styleId="pucepoint">
    <w:name w:val="puce point"/>
    <w:basedOn w:val="Normal"/>
    <w:pPr>
      <w:numPr>
        <w:numId w:val="23"/>
      </w:numPr>
    </w:pPr>
  </w:style>
  <w:style w:type="character" w:styleId="Appelnotedebasdep">
    <w:name w:val="footnote reference"/>
    <w:aliases w:val="fr"/>
    <w:semiHidden/>
    <w:rPr>
      <w:rFonts w:ascii="Arial" w:hAnsi="Arial"/>
      <w:sz w:val="16"/>
      <w:vertAlign w:val="superscript"/>
    </w:rPr>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rPr>
      <w:b/>
      <w:bCs/>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paragraph" w:customStyle="1" w:styleId="Signature1">
    <w:name w:val="Signature1"/>
    <w:basedOn w:val="Normal"/>
    <w:next w:val="Normal"/>
    <w:autoRedefine/>
    <w:rPr>
      <w:rFonts w:cs="Arial"/>
    </w:rPr>
  </w:style>
  <w:style w:type="paragraph" w:customStyle="1" w:styleId="titre">
    <w:name w:val="titre"/>
    <w:basedOn w:val="Normal"/>
    <w:pPr>
      <w:spacing w:line="320" w:lineRule="atLeast"/>
    </w:pPr>
    <w:rPr>
      <w:b/>
    </w:rPr>
  </w:style>
  <w:style w:type="paragraph" w:customStyle="1" w:styleId="pucetiret">
    <w:name w:val="puce tiret"/>
    <w:basedOn w:val="Normal"/>
    <w:pPr>
      <w:numPr>
        <w:numId w:val="24"/>
      </w:numPr>
      <w:tabs>
        <w:tab w:val="clear" w:pos="1437"/>
        <w:tab w:val="num" w:pos="1134"/>
      </w:tabs>
      <w:ind w:left="1134" w:hanging="352"/>
    </w:pPr>
  </w:style>
  <w:style w:type="character" w:styleId="Numrodepage0">
    <w:name w:val="page number"/>
    <w:basedOn w:val="Policepardfaut"/>
    <w:rsid w:val="00452001"/>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link w:val="Notedebasdepage"/>
    <w:semiHidden/>
    <w:rsid w:val="00EA3011"/>
    <w:rPr>
      <w:rFonts w:ascii="Arial" w:hAnsi="Arial"/>
      <w:sz w:val="16"/>
    </w:rPr>
  </w:style>
  <w:style w:type="paragraph" w:styleId="Paragraphedeliste">
    <w:name w:val="List Paragraph"/>
    <w:basedOn w:val="Normal"/>
    <w:uiPriority w:val="34"/>
    <w:qFormat/>
    <w:rsid w:val="008F2F86"/>
    <w:pPr>
      <w:ind w:left="708"/>
    </w:pPr>
  </w:style>
  <w:style w:type="paragraph" w:styleId="Textedebulles">
    <w:name w:val="Balloon Text"/>
    <w:basedOn w:val="Normal"/>
    <w:link w:val="TextedebullesCar"/>
    <w:rsid w:val="00901689"/>
    <w:pPr>
      <w:spacing w:line="240" w:lineRule="auto"/>
    </w:pPr>
    <w:rPr>
      <w:rFonts w:ascii="Tahoma" w:hAnsi="Tahoma" w:cs="Tahoma"/>
      <w:sz w:val="16"/>
      <w:szCs w:val="16"/>
    </w:rPr>
  </w:style>
  <w:style w:type="character" w:customStyle="1" w:styleId="TextedebullesCar">
    <w:name w:val="Texte de bulles Car"/>
    <w:link w:val="Textedebulles"/>
    <w:rsid w:val="00901689"/>
    <w:rPr>
      <w:rFonts w:ascii="Tahoma" w:hAnsi="Tahoma" w:cs="Tahoma"/>
      <w:sz w:val="16"/>
      <w:szCs w:val="16"/>
    </w:rPr>
  </w:style>
  <w:style w:type="character" w:styleId="Marquedecommentaire">
    <w:name w:val="annotation reference"/>
    <w:basedOn w:val="Policepardfaut"/>
    <w:rsid w:val="005B3755"/>
    <w:rPr>
      <w:sz w:val="16"/>
      <w:szCs w:val="16"/>
    </w:rPr>
  </w:style>
  <w:style w:type="paragraph" w:styleId="Commentaire">
    <w:name w:val="annotation text"/>
    <w:basedOn w:val="Normal"/>
    <w:link w:val="CommentaireCar"/>
    <w:rsid w:val="005B3755"/>
    <w:pPr>
      <w:spacing w:line="240" w:lineRule="auto"/>
    </w:pPr>
    <w:rPr>
      <w:sz w:val="20"/>
    </w:rPr>
  </w:style>
  <w:style w:type="character" w:customStyle="1" w:styleId="CommentaireCar">
    <w:name w:val="Commentaire Car"/>
    <w:basedOn w:val="Policepardfaut"/>
    <w:link w:val="Commentaire"/>
    <w:rsid w:val="005B3755"/>
    <w:rPr>
      <w:rFonts w:ascii="Arial" w:hAnsi="Arial"/>
    </w:rPr>
  </w:style>
  <w:style w:type="paragraph" w:styleId="Objetducommentaire">
    <w:name w:val="annotation subject"/>
    <w:basedOn w:val="Commentaire"/>
    <w:next w:val="Commentaire"/>
    <w:link w:val="ObjetducommentaireCar"/>
    <w:rsid w:val="005B3755"/>
    <w:rPr>
      <w:b/>
      <w:bCs/>
    </w:rPr>
  </w:style>
  <w:style w:type="character" w:customStyle="1" w:styleId="ObjetducommentaireCar">
    <w:name w:val="Objet du commentaire Car"/>
    <w:basedOn w:val="CommentaireCar"/>
    <w:link w:val="Objetducommentaire"/>
    <w:rsid w:val="005B375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hAnsi="Arial"/>
      <w:sz w:val="18"/>
    </w:rPr>
  </w:style>
  <w:style w:type="paragraph" w:styleId="Titre1">
    <w:name w:val="heading 1"/>
    <w:basedOn w:val="Normal"/>
    <w:next w:val="Normal"/>
    <w:qFormat/>
    <w:pPr>
      <w:keepNext/>
      <w:numPr>
        <w:numId w:val="25"/>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26"/>
      </w:numPr>
      <w:tabs>
        <w:tab w:val="clear" w:pos="1080"/>
        <w:tab w:val="left" w:pos="737"/>
      </w:tabs>
      <w:ind w:left="737" w:hanging="737"/>
      <w:outlineLvl w:val="1"/>
    </w:pPr>
  </w:style>
  <w:style w:type="paragraph" w:styleId="Titre3">
    <w:name w:val="heading 3"/>
    <w:basedOn w:val="Normal"/>
    <w:next w:val="Normal"/>
    <w:qFormat/>
    <w:pPr>
      <w:keepNext/>
      <w:numPr>
        <w:ilvl w:val="2"/>
        <w:numId w:val="27"/>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28"/>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rPr>
      <w:bCs/>
    </w:rPr>
  </w:style>
  <w:style w:type="paragraph" w:customStyle="1" w:styleId="pucepoint">
    <w:name w:val="puce point"/>
    <w:basedOn w:val="Normal"/>
    <w:pPr>
      <w:numPr>
        <w:numId w:val="23"/>
      </w:numPr>
    </w:pPr>
  </w:style>
  <w:style w:type="character" w:styleId="Appelnotedebasdep">
    <w:name w:val="footnote reference"/>
    <w:aliases w:val="fr"/>
    <w:semiHidden/>
    <w:rPr>
      <w:rFonts w:ascii="Arial" w:hAnsi="Arial"/>
      <w:sz w:val="16"/>
      <w:vertAlign w:val="superscript"/>
    </w:rPr>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rPr>
      <w:b/>
      <w:bCs/>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paragraph" w:customStyle="1" w:styleId="Signature1">
    <w:name w:val="Signature1"/>
    <w:basedOn w:val="Normal"/>
    <w:next w:val="Normal"/>
    <w:autoRedefine/>
    <w:rPr>
      <w:rFonts w:cs="Arial"/>
    </w:rPr>
  </w:style>
  <w:style w:type="paragraph" w:customStyle="1" w:styleId="titre">
    <w:name w:val="titre"/>
    <w:basedOn w:val="Normal"/>
    <w:pPr>
      <w:spacing w:line="320" w:lineRule="atLeast"/>
    </w:pPr>
    <w:rPr>
      <w:b/>
    </w:rPr>
  </w:style>
  <w:style w:type="paragraph" w:customStyle="1" w:styleId="pucetiret">
    <w:name w:val="puce tiret"/>
    <w:basedOn w:val="Normal"/>
    <w:pPr>
      <w:numPr>
        <w:numId w:val="24"/>
      </w:numPr>
      <w:tabs>
        <w:tab w:val="clear" w:pos="1437"/>
        <w:tab w:val="num" w:pos="1134"/>
      </w:tabs>
      <w:ind w:left="1134" w:hanging="352"/>
    </w:pPr>
  </w:style>
  <w:style w:type="character" w:styleId="Numrodepage0">
    <w:name w:val="page number"/>
    <w:basedOn w:val="Policepardfaut"/>
    <w:rsid w:val="00452001"/>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link w:val="Notedebasdepage"/>
    <w:semiHidden/>
    <w:rsid w:val="00EA3011"/>
    <w:rPr>
      <w:rFonts w:ascii="Arial" w:hAnsi="Arial"/>
      <w:sz w:val="16"/>
    </w:rPr>
  </w:style>
  <w:style w:type="paragraph" w:styleId="Paragraphedeliste">
    <w:name w:val="List Paragraph"/>
    <w:basedOn w:val="Normal"/>
    <w:uiPriority w:val="34"/>
    <w:qFormat/>
    <w:rsid w:val="008F2F86"/>
    <w:pPr>
      <w:ind w:left="708"/>
    </w:pPr>
  </w:style>
  <w:style w:type="paragraph" w:styleId="Textedebulles">
    <w:name w:val="Balloon Text"/>
    <w:basedOn w:val="Normal"/>
    <w:link w:val="TextedebullesCar"/>
    <w:rsid w:val="00901689"/>
    <w:pPr>
      <w:spacing w:line="240" w:lineRule="auto"/>
    </w:pPr>
    <w:rPr>
      <w:rFonts w:ascii="Tahoma" w:hAnsi="Tahoma" w:cs="Tahoma"/>
      <w:sz w:val="16"/>
      <w:szCs w:val="16"/>
    </w:rPr>
  </w:style>
  <w:style w:type="character" w:customStyle="1" w:styleId="TextedebullesCar">
    <w:name w:val="Texte de bulles Car"/>
    <w:link w:val="Textedebulles"/>
    <w:rsid w:val="00901689"/>
    <w:rPr>
      <w:rFonts w:ascii="Tahoma" w:hAnsi="Tahoma" w:cs="Tahoma"/>
      <w:sz w:val="16"/>
      <w:szCs w:val="16"/>
    </w:rPr>
  </w:style>
  <w:style w:type="character" w:styleId="Marquedecommentaire">
    <w:name w:val="annotation reference"/>
    <w:basedOn w:val="Policepardfaut"/>
    <w:rsid w:val="005B3755"/>
    <w:rPr>
      <w:sz w:val="16"/>
      <w:szCs w:val="16"/>
    </w:rPr>
  </w:style>
  <w:style w:type="paragraph" w:styleId="Commentaire">
    <w:name w:val="annotation text"/>
    <w:basedOn w:val="Normal"/>
    <w:link w:val="CommentaireCar"/>
    <w:rsid w:val="005B3755"/>
    <w:pPr>
      <w:spacing w:line="240" w:lineRule="auto"/>
    </w:pPr>
    <w:rPr>
      <w:sz w:val="20"/>
    </w:rPr>
  </w:style>
  <w:style w:type="character" w:customStyle="1" w:styleId="CommentaireCar">
    <w:name w:val="Commentaire Car"/>
    <w:basedOn w:val="Policepardfaut"/>
    <w:link w:val="Commentaire"/>
    <w:rsid w:val="005B3755"/>
    <w:rPr>
      <w:rFonts w:ascii="Arial" w:hAnsi="Arial"/>
    </w:rPr>
  </w:style>
  <w:style w:type="paragraph" w:styleId="Objetducommentaire">
    <w:name w:val="annotation subject"/>
    <w:basedOn w:val="Commentaire"/>
    <w:next w:val="Commentaire"/>
    <w:link w:val="ObjetducommentaireCar"/>
    <w:rsid w:val="005B3755"/>
    <w:rPr>
      <w:b/>
      <w:bCs/>
    </w:rPr>
  </w:style>
  <w:style w:type="character" w:customStyle="1" w:styleId="ObjetducommentaireCar">
    <w:name w:val="Objet du commentaire Car"/>
    <w:basedOn w:val="CommentaireCar"/>
    <w:link w:val="Objetducommentaire"/>
    <w:rsid w:val="005B37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Communique_S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DD86-5F92-450E-95FE-A4D3576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Communique_SC.dot</Template>
  <TotalTime>3</TotalTime>
  <Pages>1</Pages>
  <Words>265</Words>
  <Characters>1484</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AMF</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MDUPISSOT</dc:creator>
  <cp:lastModifiedBy>RICHOU Nicolas</cp:lastModifiedBy>
  <cp:revision>2</cp:revision>
  <cp:lastPrinted>2013-06-18T09:13:00Z</cp:lastPrinted>
  <dcterms:created xsi:type="dcterms:W3CDTF">2013-06-19T09:14:00Z</dcterms:created>
  <dcterms:modified xsi:type="dcterms:W3CDTF">2013-06-19T09:14:00Z</dcterms:modified>
</cp:coreProperties>
</file>