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Default="00236235" w:rsidP="00036098">
      <w:pPr>
        <w:rPr>
          <w:rFonts w:cs="Arial"/>
          <w:szCs w:val="18"/>
        </w:rPr>
      </w:pPr>
      <w:r w:rsidRPr="006A1385">
        <w:rPr>
          <w:rFonts w:cs="Arial"/>
          <w:b/>
          <w:szCs w:val="18"/>
        </w:rPr>
        <w:t xml:space="preserve">Formules </w:t>
      </w:r>
      <w:r>
        <w:rPr>
          <w:rFonts w:cs="Arial"/>
          <w:b/>
          <w:szCs w:val="18"/>
        </w:rPr>
        <w:t xml:space="preserve">de calcul de l’engagement </w:t>
      </w:r>
      <w:r w:rsidR="00FD20AB">
        <w:rPr>
          <w:rFonts w:cs="Arial"/>
          <w:b/>
          <w:szCs w:val="18"/>
        </w:rPr>
        <w:t>des contrats financiers non standards</w:t>
      </w:r>
    </w:p>
    <w:p w:rsidR="00236235" w:rsidRDefault="00236235" w:rsidP="00BE401C">
      <w:pPr>
        <w:rPr>
          <w:iCs/>
          <w:szCs w:val="18"/>
        </w:rPr>
      </w:pPr>
    </w:p>
    <w:p w:rsidR="00236235" w:rsidRDefault="00BE401C" w:rsidP="00236235">
      <w:pPr>
        <w:spacing w:after="120"/>
        <w:rPr>
          <w:rFonts w:cs="Arial"/>
          <w:szCs w:val="18"/>
        </w:rPr>
      </w:pPr>
      <w:r w:rsidRPr="001C5880">
        <w:rPr>
          <w:iCs/>
          <w:szCs w:val="18"/>
        </w:rPr>
        <w:t>Ce document constitue l’</w:t>
      </w:r>
      <w:bookmarkStart w:id="0" w:name="_GoBack"/>
      <w:bookmarkEnd w:id="0"/>
      <w:r w:rsidRPr="001C5880">
        <w:rPr>
          <w:iCs/>
          <w:szCs w:val="18"/>
        </w:rPr>
        <w:t xml:space="preserve">annexe </w:t>
      </w:r>
      <w:r w:rsidR="0074672E">
        <w:rPr>
          <w:iCs/>
          <w:szCs w:val="18"/>
        </w:rPr>
        <w:t>II</w:t>
      </w:r>
      <w:r w:rsidR="00FD20AB">
        <w:rPr>
          <w:iCs/>
          <w:szCs w:val="18"/>
        </w:rPr>
        <w:t>I</w:t>
      </w:r>
      <w:r w:rsidR="00734FCF">
        <w:rPr>
          <w:iCs/>
          <w:szCs w:val="18"/>
        </w:rPr>
        <w:t xml:space="preserve"> de l’instruction AMF DOC-</w:t>
      </w:r>
      <w:r w:rsidR="00236235">
        <w:t>2011-15</w:t>
      </w:r>
      <w:r w:rsidRPr="001C5880">
        <w:t xml:space="preserve"> </w:t>
      </w:r>
      <w:r w:rsidRPr="00BE401C">
        <w:rPr>
          <w:rFonts w:cs="Arial"/>
          <w:szCs w:val="18"/>
        </w:rPr>
        <w:t xml:space="preserve">- Modalités de </w:t>
      </w:r>
      <w:r w:rsidR="00236235">
        <w:rPr>
          <w:rFonts w:cs="Arial"/>
          <w:szCs w:val="18"/>
        </w:rPr>
        <w:t>calcul du risque global des OPCVM et des FIA agréés.</w:t>
      </w:r>
    </w:p>
    <w:p w:rsidR="0074672E" w:rsidRDefault="0074672E" w:rsidP="00236235">
      <w:pPr>
        <w:spacing w:after="120"/>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371"/>
      </w:tblGrid>
      <w:tr w:rsidR="00FD20AB" w:rsidRPr="003E39F0" w:rsidTr="00C75CA4">
        <w:tc>
          <w:tcPr>
            <w:tcW w:w="1809" w:type="dxa"/>
            <w:shd w:val="clear" w:color="auto" w:fill="auto"/>
          </w:tcPr>
          <w:p w:rsidR="00FD20AB" w:rsidRPr="003E39F0" w:rsidRDefault="00FD20AB" w:rsidP="00C75CA4">
            <w:pPr>
              <w:jc w:val="left"/>
              <w:rPr>
                <w:rFonts w:cs="Arial"/>
                <w:szCs w:val="18"/>
              </w:rPr>
            </w:pPr>
            <w:r w:rsidRPr="003E39F0">
              <w:rPr>
                <w:rFonts w:cs="Arial"/>
                <w:szCs w:val="18"/>
              </w:rPr>
              <w:t>Contrats d’échange de variance</w:t>
            </w:r>
          </w:p>
          <w:p w:rsidR="00FD20AB" w:rsidRPr="003E39F0" w:rsidRDefault="00FD20AB" w:rsidP="00C75CA4">
            <w:pPr>
              <w:jc w:val="left"/>
              <w:rPr>
                <w:rFonts w:cs="Arial"/>
                <w:i/>
                <w:szCs w:val="18"/>
              </w:rPr>
            </w:pPr>
            <w:r w:rsidRPr="003E39F0">
              <w:rPr>
                <w:rFonts w:cs="Arial"/>
                <w:i/>
                <w:szCs w:val="18"/>
              </w:rPr>
              <w:t>« variance swaps »</w:t>
            </w:r>
          </w:p>
        </w:tc>
        <w:tc>
          <w:tcPr>
            <w:tcW w:w="7371" w:type="dxa"/>
            <w:shd w:val="clear" w:color="auto" w:fill="auto"/>
          </w:tcPr>
          <w:p w:rsidR="00FD20AB" w:rsidRPr="003E39F0" w:rsidRDefault="00FD20AB" w:rsidP="00C75CA4">
            <w:pPr>
              <w:rPr>
                <w:rFonts w:cs="Arial"/>
                <w:szCs w:val="18"/>
              </w:rPr>
            </w:pPr>
            <w:r w:rsidRPr="003E39F0">
              <w:rPr>
                <w:rFonts w:cs="Arial"/>
                <w:szCs w:val="18"/>
              </w:rPr>
              <w:t>Les swaps de variance sont des contrats qui permettent aux investisseurs de s’exposer à la variance (carré de la volatilité) en contrepartie de la volatilité implicite courante. Selon les pratiques de marché, la valeur d’exercice (</w:t>
            </w:r>
            <w:proofErr w:type="spellStart"/>
            <w:r w:rsidRPr="003E39F0">
              <w:rPr>
                <w:rFonts w:cs="Arial"/>
                <w:szCs w:val="18"/>
              </w:rPr>
              <w:t>strike</w:t>
            </w:r>
            <w:proofErr w:type="spellEnd"/>
            <w:r w:rsidRPr="003E39F0">
              <w:rPr>
                <w:rFonts w:cs="Arial"/>
                <w:szCs w:val="18"/>
              </w:rPr>
              <w:t xml:space="preserve">) et le </w:t>
            </w:r>
            <w:r w:rsidRPr="003E39F0">
              <w:rPr>
                <w:rFonts w:cs="Arial"/>
                <w:i/>
                <w:szCs w:val="18"/>
              </w:rPr>
              <w:t>nominal de</w:t>
            </w:r>
            <w:r w:rsidRPr="003E39F0">
              <w:rPr>
                <w:rFonts w:cs="Arial"/>
                <w:szCs w:val="18"/>
              </w:rPr>
              <w:t xml:space="preserve"> </w:t>
            </w:r>
            <w:proofErr w:type="spellStart"/>
            <w:r w:rsidRPr="003E39F0">
              <w:rPr>
                <w:rFonts w:cs="Arial"/>
                <w:i/>
                <w:szCs w:val="18"/>
              </w:rPr>
              <w:t>vega</w:t>
            </w:r>
            <w:proofErr w:type="spellEnd"/>
            <w:r w:rsidRPr="003E39F0">
              <w:rPr>
                <w:rFonts w:cs="Arial"/>
                <w:szCs w:val="18"/>
              </w:rPr>
              <w:t xml:space="preserve"> sont exprimés en terme de volatilité. Pour le </w:t>
            </w:r>
            <w:r w:rsidRPr="003E39F0">
              <w:rPr>
                <w:rFonts w:cs="Arial"/>
                <w:i/>
                <w:szCs w:val="18"/>
              </w:rPr>
              <w:t>nominal de</w:t>
            </w:r>
            <w:r w:rsidRPr="003E39F0">
              <w:rPr>
                <w:rFonts w:cs="Arial"/>
                <w:szCs w:val="18"/>
              </w:rPr>
              <w:t xml:space="preserve"> </w:t>
            </w:r>
            <w:r w:rsidRPr="003E39F0">
              <w:rPr>
                <w:rFonts w:cs="Arial"/>
                <w:i/>
                <w:szCs w:val="18"/>
              </w:rPr>
              <w:t>variance</w:t>
            </w:r>
            <w:r w:rsidRPr="003E39F0">
              <w:rPr>
                <w:rFonts w:cs="Arial"/>
                <w:szCs w:val="18"/>
              </w:rPr>
              <w:t xml:space="preserve"> :</w:t>
            </w:r>
          </w:p>
          <w:p w:rsidR="00FD20AB" w:rsidRPr="003E39F0" w:rsidRDefault="00FD20AB" w:rsidP="00C75CA4">
            <w:pPr>
              <w:rPr>
                <w:rFonts w:cs="Arial"/>
                <w:iCs/>
                <w:szCs w:val="18"/>
                <w:lang w:val="en-GB"/>
              </w:rPr>
            </w:pPr>
            <w:r w:rsidRPr="003E39F0">
              <w:rPr>
                <w:rFonts w:cs="Arial"/>
                <w:position w:val="-24"/>
                <w:szCs w:val="18"/>
                <w:lang w:val="en-GB"/>
              </w:rPr>
              <w:object w:dxaOrig="42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1pt" o:ole="">
                  <v:imagedata r:id="rId8" o:title=""/>
                </v:shape>
                <o:OLEObject Type="Embed" ProgID="Equation.3" ShapeID="_x0000_i1025" DrawAspect="Content" ObjectID="_1591522590" r:id="rId9"/>
              </w:object>
            </w:r>
          </w:p>
          <w:p w:rsidR="00FD20AB" w:rsidRPr="003E39F0" w:rsidRDefault="00FD20AB" w:rsidP="00C75CA4">
            <w:pPr>
              <w:rPr>
                <w:rFonts w:cs="Arial"/>
                <w:i/>
                <w:iCs/>
                <w:szCs w:val="18"/>
                <w:lang w:val="en-GB"/>
              </w:rPr>
            </w:pPr>
          </w:p>
          <w:p w:rsidR="00FD20AB" w:rsidRPr="003E39F0" w:rsidRDefault="00FD20AB" w:rsidP="00C75CA4">
            <w:pPr>
              <w:rPr>
                <w:rFonts w:cs="Arial"/>
                <w:szCs w:val="18"/>
              </w:rPr>
            </w:pPr>
            <w:r w:rsidRPr="003E39F0">
              <w:rPr>
                <w:rFonts w:cs="Arial"/>
                <w:szCs w:val="18"/>
              </w:rPr>
              <w:t xml:space="preserve">Le </w:t>
            </w:r>
            <w:r w:rsidRPr="003E39F0">
              <w:rPr>
                <w:rFonts w:cs="Arial"/>
                <w:i/>
                <w:szCs w:val="18"/>
              </w:rPr>
              <w:t>nominal de</w:t>
            </w:r>
            <w:r w:rsidRPr="003E39F0">
              <w:rPr>
                <w:rFonts w:cs="Arial"/>
                <w:szCs w:val="18"/>
              </w:rPr>
              <w:t xml:space="preserve"> </w:t>
            </w:r>
            <w:proofErr w:type="spellStart"/>
            <w:r w:rsidRPr="003E39F0">
              <w:rPr>
                <w:rFonts w:cs="Arial"/>
                <w:i/>
                <w:szCs w:val="18"/>
              </w:rPr>
              <w:t>vega</w:t>
            </w:r>
            <w:proofErr w:type="spellEnd"/>
            <w:r w:rsidRPr="003E39F0">
              <w:rPr>
                <w:rFonts w:cs="Arial"/>
                <w:szCs w:val="18"/>
              </w:rPr>
              <w:t xml:space="preserve"> fournit une mesure théorique des pertes et profits résultant d’un changement de 1% dans la volatilité.</w:t>
            </w:r>
          </w:p>
          <w:p w:rsidR="00FD20AB" w:rsidRPr="003E39F0" w:rsidRDefault="00FD20AB" w:rsidP="00C75CA4">
            <w:pPr>
              <w:rPr>
                <w:rFonts w:cs="Arial"/>
                <w:szCs w:val="18"/>
              </w:rPr>
            </w:pPr>
            <w:r w:rsidRPr="003E39F0">
              <w:rPr>
                <w:rFonts w:cs="Arial"/>
                <w:szCs w:val="18"/>
              </w:rPr>
              <w:t xml:space="preserve">Comme la volatilité réalisée ne peut être négative, une position longue sur un swap a une perte maximale connue. La perte maximale d’une position courte sur un swap est souvent limitée par l’inclusion d’un plafond sur la volatilité. </w:t>
            </w:r>
          </w:p>
          <w:p w:rsidR="00FD20AB" w:rsidRPr="003E39F0" w:rsidRDefault="00FD20AB" w:rsidP="00C75CA4">
            <w:pPr>
              <w:jc w:val="left"/>
              <w:rPr>
                <w:rFonts w:cs="Arial"/>
                <w:szCs w:val="18"/>
              </w:rPr>
            </w:pPr>
          </w:p>
          <w:p w:rsidR="00FD20AB" w:rsidRPr="003E39F0" w:rsidRDefault="00FD20AB" w:rsidP="00C75CA4">
            <w:pPr>
              <w:rPr>
                <w:rFonts w:cs="Arial"/>
                <w:szCs w:val="18"/>
              </w:rPr>
            </w:pPr>
            <w:r w:rsidRPr="003E39F0">
              <w:rPr>
                <w:rFonts w:cs="Arial"/>
                <w:szCs w:val="18"/>
              </w:rPr>
              <w:t>Toutefois sans plafond de volatilité, les pertes potentielles d’une position courte sur un swap de variance sont infinies.</w:t>
            </w:r>
          </w:p>
          <w:p w:rsidR="00FD20AB" w:rsidRPr="003E39F0" w:rsidRDefault="00FD20AB" w:rsidP="00C75CA4">
            <w:pPr>
              <w:jc w:val="left"/>
              <w:rPr>
                <w:rFonts w:cs="Arial"/>
                <w:szCs w:val="18"/>
              </w:rPr>
            </w:pPr>
          </w:p>
          <w:p w:rsidR="00FD20AB" w:rsidRPr="003E39F0" w:rsidRDefault="00FD20AB" w:rsidP="00C75CA4">
            <w:pPr>
              <w:jc w:val="left"/>
              <w:rPr>
                <w:rFonts w:cs="Arial"/>
                <w:szCs w:val="18"/>
              </w:rPr>
            </w:pPr>
            <w:r w:rsidRPr="003E39F0">
              <w:rPr>
                <w:rFonts w:cs="Arial"/>
                <w:szCs w:val="18"/>
              </w:rPr>
              <w:t xml:space="preserve">La formule de calcul de l’engagement à utiliser pour un tel contrat donné au temps </w:t>
            </w:r>
            <w:r w:rsidRPr="003E39F0">
              <w:rPr>
                <w:rFonts w:cs="Arial"/>
                <w:i/>
                <w:szCs w:val="18"/>
              </w:rPr>
              <w:t>t</w:t>
            </w:r>
            <w:r w:rsidRPr="003E39F0">
              <w:rPr>
                <w:rFonts w:cs="Arial"/>
                <w:szCs w:val="18"/>
              </w:rPr>
              <w:t xml:space="preserve"> est : </w:t>
            </w:r>
          </w:p>
          <w:p w:rsidR="00FD20AB" w:rsidRPr="003E39F0" w:rsidRDefault="00FD20AB" w:rsidP="00C75CA4">
            <w:pPr>
              <w:jc w:val="left"/>
              <w:rPr>
                <w:rFonts w:cs="Arial"/>
                <w:szCs w:val="18"/>
              </w:rPr>
            </w:pPr>
            <w:r w:rsidRPr="003E39F0">
              <w:rPr>
                <w:rFonts w:cs="Arial"/>
                <w:szCs w:val="18"/>
              </w:rPr>
              <w:t xml:space="preserve">Nominal de Variance * </w:t>
            </w:r>
            <w:proofErr w:type="spellStart"/>
            <w:r w:rsidRPr="003E39F0">
              <w:rPr>
                <w:rFonts w:cs="Arial"/>
                <w:szCs w:val="18"/>
              </w:rPr>
              <w:t>Variance</w:t>
            </w:r>
            <w:r w:rsidRPr="003E39F0">
              <w:rPr>
                <w:rFonts w:cs="Arial"/>
                <w:szCs w:val="18"/>
                <w:vertAlign w:val="subscript"/>
              </w:rPr>
              <w:t>t</w:t>
            </w:r>
            <w:proofErr w:type="spellEnd"/>
            <w:r w:rsidRPr="003E39F0">
              <w:rPr>
                <w:rFonts w:cs="Arial"/>
                <w:szCs w:val="18"/>
              </w:rPr>
              <w:t xml:space="preserve"> (courante) (sans plafond sur la volatilité)</w:t>
            </w:r>
          </w:p>
          <w:p w:rsidR="00FD20AB" w:rsidRPr="003E39F0" w:rsidRDefault="00FD20AB" w:rsidP="00C75CA4">
            <w:pPr>
              <w:jc w:val="left"/>
              <w:rPr>
                <w:rFonts w:cs="Arial"/>
                <w:szCs w:val="18"/>
              </w:rPr>
            </w:pPr>
            <w:r w:rsidRPr="003E39F0">
              <w:rPr>
                <w:rFonts w:cs="Arial"/>
                <w:szCs w:val="18"/>
              </w:rPr>
              <w:t>Nominal de Variance * min [</w:t>
            </w:r>
            <w:proofErr w:type="spellStart"/>
            <w:r w:rsidRPr="003E39F0">
              <w:rPr>
                <w:rFonts w:cs="Arial"/>
                <w:szCs w:val="18"/>
              </w:rPr>
              <w:t>Variance</w:t>
            </w:r>
            <w:r w:rsidRPr="003E39F0">
              <w:rPr>
                <w:rFonts w:cs="Arial"/>
                <w:szCs w:val="18"/>
                <w:vertAlign w:val="subscript"/>
              </w:rPr>
              <w:t>t</w:t>
            </w:r>
            <w:proofErr w:type="spellEnd"/>
            <w:r w:rsidRPr="003E39F0">
              <w:rPr>
                <w:rFonts w:cs="Arial"/>
                <w:szCs w:val="18"/>
              </w:rPr>
              <w:t xml:space="preserve"> (courante); (plafond de volatilité</w:t>
            </w:r>
            <w:proofErr w:type="gramStart"/>
            <w:r w:rsidRPr="003E39F0">
              <w:rPr>
                <w:rFonts w:cs="Arial"/>
                <w:szCs w:val="18"/>
              </w:rPr>
              <w:t>)</w:t>
            </w:r>
            <w:r w:rsidRPr="003E39F0">
              <w:rPr>
                <w:rFonts w:cs="Arial"/>
                <w:szCs w:val="18"/>
                <w:vertAlign w:val="superscript"/>
              </w:rPr>
              <w:t>2</w:t>
            </w:r>
            <w:proofErr w:type="gramEnd"/>
            <w:r w:rsidRPr="003E39F0">
              <w:rPr>
                <w:rFonts w:cs="Arial"/>
                <w:szCs w:val="18"/>
              </w:rPr>
              <w:t>] (avec plafond sur la volatilité)</w:t>
            </w:r>
          </w:p>
          <w:p w:rsidR="00FD20AB" w:rsidRPr="003E39F0" w:rsidRDefault="00FD20AB" w:rsidP="00C75CA4">
            <w:pPr>
              <w:jc w:val="left"/>
              <w:rPr>
                <w:rFonts w:cs="Arial"/>
                <w:szCs w:val="18"/>
              </w:rPr>
            </w:pPr>
          </w:p>
          <w:p w:rsidR="00FD20AB" w:rsidRPr="003E39F0" w:rsidRDefault="00FD20AB" w:rsidP="00C75CA4">
            <w:pPr>
              <w:jc w:val="left"/>
              <w:rPr>
                <w:rFonts w:cs="Arial"/>
                <w:szCs w:val="18"/>
              </w:rPr>
            </w:pPr>
            <w:r w:rsidRPr="003E39F0">
              <w:rPr>
                <w:rFonts w:cs="Arial"/>
                <w:szCs w:val="18"/>
              </w:rPr>
              <w:t xml:space="preserve">Où : </w:t>
            </w:r>
            <w:proofErr w:type="spellStart"/>
            <w:r w:rsidRPr="003E39F0">
              <w:rPr>
                <w:rFonts w:cs="Arial"/>
                <w:szCs w:val="18"/>
              </w:rPr>
              <w:t>Variance</w:t>
            </w:r>
            <w:r w:rsidRPr="003E39F0">
              <w:rPr>
                <w:rFonts w:cs="Arial"/>
                <w:szCs w:val="18"/>
                <w:vertAlign w:val="subscript"/>
              </w:rPr>
              <w:t>t</w:t>
            </w:r>
            <w:proofErr w:type="spellEnd"/>
            <w:r w:rsidRPr="003E39F0">
              <w:rPr>
                <w:rFonts w:cs="Arial"/>
                <w:szCs w:val="18"/>
              </w:rPr>
              <w:t xml:space="preserve"> (courante) est une fonction du carré de la volatilité réalisée et de la volatilité implicite, plus précisément :</w:t>
            </w:r>
          </w:p>
          <w:p w:rsidR="00FD20AB" w:rsidRPr="003E39F0" w:rsidRDefault="00FD20AB" w:rsidP="00C75CA4">
            <w:pPr>
              <w:jc w:val="left"/>
              <w:rPr>
                <w:rFonts w:cs="Arial"/>
                <w:szCs w:val="18"/>
                <w:lang w:val="en-GB"/>
              </w:rPr>
            </w:pPr>
            <w:r w:rsidRPr="003E39F0">
              <w:rPr>
                <w:rFonts w:cs="Arial"/>
                <w:position w:val="-24"/>
                <w:szCs w:val="18"/>
                <w:lang w:val="en-GB"/>
              </w:rPr>
              <w:object w:dxaOrig="8600" w:dyaOrig="639">
                <v:shape id="_x0000_i1026" type="#_x0000_t75" style="width:351pt;height:26.25pt" o:ole="">
                  <v:imagedata r:id="rId10" o:title=""/>
                </v:shape>
                <o:OLEObject Type="Embed" ProgID="Equation.3" ShapeID="_x0000_i1026" DrawAspect="Content" ObjectID="_1591522591" r:id="rId11"/>
              </w:object>
            </w:r>
          </w:p>
          <w:p w:rsidR="00FD20AB" w:rsidRPr="003E39F0" w:rsidRDefault="00FD20AB" w:rsidP="00C75CA4">
            <w:pPr>
              <w:jc w:val="left"/>
              <w:rPr>
                <w:rFonts w:cs="Arial"/>
                <w:szCs w:val="18"/>
                <w:lang w:val="en-GB"/>
              </w:rPr>
            </w:pPr>
          </w:p>
        </w:tc>
      </w:tr>
      <w:tr w:rsidR="00FD20AB" w:rsidRPr="003E39F0" w:rsidTr="00C75CA4">
        <w:tc>
          <w:tcPr>
            <w:tcW w:w="1809" w:type="dxa"/>
            <w:shd w:val="clear" w:color="auto" w:fill="auto"/>
          </w:tcPr>
          <w:p w:rsidR="00FD20AB" w:rsidRPr="003E39F0" w:rsidRDefault="00FD20AB" w:rsidP="00C75CA4">
            <w:pPr>
              <w:jc w:val="left"/>
              <w:rPr>
                <w:rFonts w:cs="Arial"/>
                <w:szCs w:val="18"/>
              </w:rPr>
            </w:pPr>
            <w:r w:rsidRPr="003E39F0">
              <w:rPr>
                <w:rFonts w:cs="Arial"/>
                <w:szCs w:val="18"/>
              </w:rPr>
              <w:t>Contrats d’échange de volatilité</w:t>
            </w:r>
          </w:p>
          <w:p w:rsidR="00FD20AB" w:rsidRPr="003E39F0" w:rsidRDefault="00FD20AB" w:rsidP="00C75CA4">
            <w:pPr>
              <w:jc w:val="left"/>
              <w:rPr>
                <w:rFonts w:cs="Arial"/>
                <w:szCs w:val="18"/>
              </w:rPr>
            </w:pPr>
            <w:r w:rsidRPr="003E39F0">
              <w:rPr>
                <w:rFonts w:cs="Arial"/>
                <w:i/>
                <w:szCs w:val="18"/>
              </w:rPr>
              <w:t>« </w:t>
            </w:r>
            <w:proofErr w:type="spellStart"/>
            <w:r w:rsidRPr="003E39F0">
              <w:rPr>
                <w:rFonts w:cs="Arial"/>
                <w:i/>
                <w:szCs w:val="18"/>
              </w:rPr>
              <w:t>volatility</w:t>
            </w:r>
            <w:proofErr w:type="spellEnd"/>
            <w:r w:rsidRPr="003E39F0">
              <w:rPr>
                <w:rFonts w:cs="Arial"/>
                <w:i/>
                <w:szCs w:val="18"/>
              </w:rPr>
              <w:t xml:space="preserve"> swaps »</w:t>
            </w:r>
          </w:p>
        </w:tc>
        <w:tc>
          <w:tcPr>
            <w:tcW w:w="7371" w:type="dxa"/>
            <w:shd w:val="clear" w:color="auto" w:fill="auto"/>
          </w:tcPr>
          <w:p w:rsidR="00FD20AB" w:rsidRPr="003E39F0" w:rsidRDefault="00FD20AB" w:rsidP="00C75CA4">
            <w:pPr>
              <w:rPr>
                <w:rFonts w:cs="Arial"/>
                <w:szCs w:val="18"/>
              </w:rPr>
            </w:pPr>
            <w:r w:rsidRPr="003E39F0">
              <w:rPr>
                <w:rFonts w:cs="Arial"/>
                <w:szCs w:val="18"/>
              </w:rPr>
              <w:t>Par analogie avec les contrats d’échange de variance, les formules de calcul suivantes sont utilisées :</w:t>
            </w:r>
          </w:p>
          <w:p w:rsidR="00FD20AB" w:rsidRPr="003E39F0" w:rsidRDefault="00FD20AB" w:rsidP="00C75CA4">
            <w:pPr>
              <w:jc w:val="left"/>
              <w:rPr>
                <w:rFonts w:cs="Arial"/>
                <w:szCs w:val="18"/>
              </w:rPr>
            </w:pPr>
          </w:p>
          <w:p w:rsidR="00FD20AB" w:rsidRPr="003E39F0" w:rsidRDefault="00FD20AB" w:rsidP="00C75CA4">
            <w:pPr>
              <w:jc w:val="left"/>
              <w:rPr>
                <w:rFonts w:cs="Arial"/>
                <w:szCs w:val="18"/>
              </w:rPr>
            </w:pPr>
            <w:r w:rsidRPr="003E39F0">
              <w:rPr>
                <w:rFonts w:cs="Arial"/>
                <w:szCs w:val="18"/>
              </w:rPr>
              <w:t xml:space="preserve">Nominal de Vega * </w:t>
            </w:r>
            <w:proofErr w:type="spellStart"/>
            <w:r w:rsidRPr="003E39F0">
              <w:rPr>
                <w:rFonts w:cs="Arial"/>
                <w:szCs w:val="18"/>
              </w:rPr>
              <w:t>Volatilité</w:t>
            </w:r>
            <w:r w:rsidRPr="003E39F0">
              <w:rPr>
                <w:rFonts w:cs="Arial"/>
                <w:szCs w:val="18"/>
                <w:vertAlign w:val="subscript"/>
              </w:rPr>
              <w:t>t</w:t>
            </w:r>
            <w:proofErr w:type="spellEnd"/>
            <w:r w:rsidRPr="003E39F0">
              <w:rPr>
                <w:rFonts w:cs="Arial"/>
                <w:szCs w:val="18"/>
              </w:rPr>
              <w:t xml:space="preserve"> (courante) (sans plafond sur la volatilité)</w:t>
            </w:r>
          </w:p>
          <w:p w:rsidR="00FD20AB" w:rsidRPr="003E39F0" w:rsidRDefault="00FD20AB" w:rsidP="00C75CA4">
            <w:pPr>
              <w:jc w:val="left"/>
              <w:rPr>
                <w:rFonts w:cs="Arial"/>
                <w:szCs w:val="18"/>
              </w:rPr>
            </w:pPr>
            <w:r w:rsidRPr="003E39F0">
              <w:rPr>
                <w:rFonts w:cs="Arial"/>
                <w:szCs w:val="18"/>
              </w:rPr>
              <w:t>Nominal de Vega * min [</w:t>
            </w:r>
            <w:proofErr w:type="spellStart"/>
            <w:r w:rsidRPr="003E39F0">
              <w:rPr>
                <w:rFonts w:cs="Arial"/>
                <w:szCs w:val="18"/>
              </w:rPr>
              <w:t>Volatilité</w:t>
            </w:r>
            <w:r w:rsidRPr="003E39F0">
              <w:rPr>
                <w:rFonts w:cs="Arial"/>
                <w:szCs w:val="18"/>
                <w:vertAlign w:val="subscript"/>
              </w:rPr>
              <w:t>t</w:t>
            </w:r>
            <w:proofErr w:type="spellEnd"/>
            <w:r w:rsidRPr="003E39F0">
              <w:rPr>
                <w:rFonts w:cs="Arial"/>
                <w:szCs w:val="18"/>
              </w:rPr>
              <w:t xml:space="preserve"> (courante); (plafond de volatilité</w:t>
            </w:r>
            <w:proofErr w:type="gramStart"/>
            <w:r w:rsidRPr="003E39F0">
              <w:rPr>
                <w:rFonts w:cs="Arial"/>
                <w:szCs w:val="18"/>
              </w:rPr>
              <w:t>)</w:t>
            </w:r>
            <w:r w:rsidRPr="003E39F0">
              <w:rPr>
                <w:rFonts w:cs="Arial"/>
                <w:szCs w:val="18"/>
                <w:vertAlign w:val="superscript"/>
              </w:rPr>
              <w:t>2</w:t>
            </w:r>
            <w:proofErr w:type="gramEnd"/>
            <w:r w:rsidRPr="003E39F0">
              <w:rPr>
                <w:rFonts w:cs="Arial"/>
                <w:szCs w:val="18"/>
              </w:rPr>
              <w:t>] (avec plafond sur la volatilité)</w:t>
            </w:r>
          </w:p>
          <w:p w:rsidR="00FD20AB" w:rsidRPr="003E39F0" w:rsidRDefault="00FD20AB" w:rsidP="00C75CA4">
            <w:pPr>
              <w:jc w:val="left"/>
              <w:rPr>
                <w:rFonts w:cs="Arial"/>
                <w:szCs w:val="18"/>
              </w:rPr>
            </w:pPr>
          </w:p>
          <w:p w:rsidR="00FD20AB" w:rsidRPr="003E39F0" w:rsidRDefault="00FD20AB" w:rsidP="00C75CA4">
            <w:pPr>
              <w:jc w:val="left"/>
              <w:rPr>
                <w:rFonts w:cs="Arial"/>
                <w:szCs w:val="18"/>
              </w:rPr>
            </w:pPr>
            <w:r w:rsidRPr="003E39F0">
              <w:rPr>
                <w:rFonts w:cs="Arial"/>
                <w:szCs w:val="18"/>
              </w:rPr>
              <w:t xml:space="preserve">Où : </w:t>
            </w:r>
            <w:proofErr w:type="spellStart"/>
            <w:r w:rsidRPr="003E39F0">
              <w:rPr>
                <w:rFonts w:cs="Arial"/>
                <w:szCs w:val="18"/>
              </w:rPr>
              <w:t>Volatilité</w:t>
            </w:r>
            <w:r w:rsidRPr="003E39F0">
              <w:rPr>
                <w:rFonts w:cs="Arial"/>
                <w:szCs w:val="18"/>
                <w:vertAlign w:val="subscript"/>
              </w:rPr>
              <w:t>t</w:t>
            </w:r>
            <w:proofErr w:type="spellEnd"/>
            <w:r w:rsidRPr="003E39F0">
              <w:rPr>
                <w:rFonts w:cs="Arial"/>
                <w:szCs w:val="18"/>
              </w:rPr>
              <w:t xml:space="preserve"> (courante) est une fonction de la volatilité réalisée et de la volatilité implicite.</w:t>
            </w:r>
          </w:p>
          <w:p w:rsidR="00FD20AB" w:rsidRPr="003E39F0" w:rsidRDefault="00FD20AB" w:rsidP="00C75CA4">
            <w:pPr>
              <w:jc w:val="left"/>
              <w:rPr>
                <w:rFonts w:cs="Arial"/>
                <w:szCs w:val="18"/>
              </w:rPr>
            </w:pPr>
          </w:p>
        </w:tc>
      </w:tr>
      <w:tr w:rsidR="00FD20AB" w:rsidRPr="003E39F0" w:rsidTr="00C75CA4">
        <w:tc>
          <w:tcPr>
            <w:tcW w:w="1809" w:type="dxa"/>
            <w:shd w:val="clear" w:color="auto" w:fill="auto"/>
          </w:tcPr>
          <w:p w:rsidR="00FD20AB" w:rsidRPr="003E39F0" w:rsidRDefault="00FD20AB" w:rsidP="00C75CA4">
            <w:pPr>
              <w:jc w:val="left"/>
              <w:rPr>
                <w:rFonts w:cs="Arial"/>
                <w:szCs w:val="18"/>
                <w:lang w:val="en-GB"/>
              </w:rPr>
            </w:pPr>
            <w:r w:rsidRPr="003E39F0">
              <w:rPr>
                <w:rFonts w:cs="Arial"/>
                <w:szCs w:val="18"/>
                <w:lang w:val="en-GB"/>
              </w:rPr>
              <w:t xml:space="preserve">Options à </w:t>
            </w:r>
            <w:proofErr w:type="spellStart"/>
            <w:r w:rsidRPr="003E39F0">
              <w:rPr>
                <w:rFonts w:cs="Arial"/>
                <w:szCs w:val="18"/>
                <w:lang w:val="en-GB"/>
              </w:rPr>
              <w:t>barrière</w:t>
            </w:r>
            <w:proofErr w:type="spellEnd"/>
            <w:r w:rsidRPr="003E39F0">
              <w:rPr>
                <w:rFonts w:cs="Arial"/>
                <w:szCs w:val="18"/>
                <w:lang w:val="en-GB"/>
              </w:rPr>
              <w:t xml:space="preserve"> (</w:t>
            </w:r>
            <w:r w:rsidRPr="003E39F0">
              <w:rPr>
                <w:rFonts w:cs="Arial"/>
                <w:i/>
                <w:szCs w:val="18"/>
                <w:lang w:val="en-GB"/>
              </w:rPr>
              <w:t>« knock-in knock-out</w:t>
            </w:r>
            <w:r w:rsidRPr="003E39F0">
              <w:rPr>
                <w:rFonts w:cs="Arial"/>
                <w:szCs w:val="18"/>
                <w:lang w:val="en-GB"/>
              </w:rPr>
              <w:t xml:space="preserve"> </w:t>
            </w:r>
            <w:r w:rsidRPr="003E39F0">
              <w:rPr>
                <w:rFonts w:cs="Arial"/>
                <w:i/>
                <w:szCs w:val="18"/>
                <w:lang w:val="en-GB"/>
              </w:rPr>
              <w:t>»</w:t>
            </w:r>
            <w:r w:rsidRPr="003E39F0">
              <w:rPr>
                <w:rFonts w:cs="Arial"/>
                <w:szCs w:val="18"/>
                <w:lang w:val="en-GB"/>
              </w:rPr>
              <w:t>)</w:t>
            </w:r>
          </w:p>
        </w:tc>
        <w:tc>
          <w:tcPr>
            <w:tcW w:w="7371" w:type="dxa"/>
            <w:shd w:val="clear" w:color="auto" w:fill="auto"/>
          </w:tcPr>
          <w:p w:rsidR="00FD20AB" w:rsidRPr="003E39F0" w:rsidRDefault="00FD20AB" w:rsidP="00C75CA4">
            <w:pPr>
              <w:jc w:val="left"/>
              <w:rPr>
                <w:rFonts w:cs="Arial"/>
                <w:szCs w:val="18"/>
              </w:rPr>
            </w:pPr>
            <w:r w:rsidRPr="003E39F0">
              <w:rPr>
                <w:rFonts w:cs="Arial"/>
                <w:szCs w:val="18"/>
              </w:rPr>
              <w:t>Nombre de contrats * nominal du contrat * valeur de marché de l’action sous-jacente * delta maximum</w:t>
            </w:r>
          </w:p>
          <w:p w:rsidR="00FD20AB" w:rsidRPr="003E39F0" w:rsidRDefault="00FD20AB" w:rsidP="00C75CA4">
            <w:pPr>
              <w:jc w:val="left"/>
              <w:rPr>
                <w:rFonts w:cs="Arial"/>
                <w:szCs w:val="18"/>
              </w:rPr>
            </w:pPr>
          </w:p>
          <w:p w:rsidR="00FD20AB" w:rsidRPr="003E39F0" w:rsidRDefault="00FD20AB" w:rsidP="00C75CA4">
            <w:pPr>
              <w:rPr>
                <w:rFonts w:cs="Arial"/>
                <w:szCs w:val="18"/>
              </w:rPr>
            </w:pPr>
            <w:r w:rsidRPr="003E39F0">
              <w:rPr>
                <w:rFonts w:cs="Arial"/>
                <w:szCs w:val="18"/>
              </w:rPr>
              <w:t xml:space="preserve">Où le delta maximum est égal à la plus grande valeur (si elle est positive) ou la plus petite valeur (si négative) que le delta de l’option peut atteindre en tenant compte de tous les scénarios de marché possibles.  </w:t>
            </w:r>
          </w:p>
          <w:p w:rsidR="00FD20AB" w:rsidRPr="003E39F0" w:rsidRDefault="00FD20AB" w:rsidP="00C75CA4">
            <w:pPr>
              <w:rPr>
                <w:rFonts w:cs="Arial"/>
                <w:szCs w:val="18"/>
              </w:rPr>
            </w:pPr>
            <w:r w:rsidRPr="003E39F0">
              <w:rPr>
                <w:rFonts w:cs="Arial"/>
                <w:szCs w:val="18"/>
              </w:rPr>
              <w:t>Si l’utilisation de la méthode du calcul de l’engagement conduit à une valeur infinie, la perte potentielle maximale résultant d‘un défaut de l’émetteur peut être retenue. </w:t>
            </w:r>
          </w:p>
          <w:p w:rsidR="00FD20AB" w:rsidRPr="003E39F0" w:rsidRDefault="00FD20AB" w:rsidP="00C75CA4">
            <w:pPr>
              <w:jc w:val="left"/>
              <w:rPr>
                <w:rFonts w:cs="Arial"/>
                <w:szCs w:val="18"/>
              </w:rPr>
            </w:pPr>
          </w:p>
        </w:tc>
      </w:tr>
    </w:tbl>
    <w:p w:rsidR="00236235" w:rsidRDefault="00236235" w:rsidP="00236235">
      <w:pPr>
        <w:pStyle w:val="NormalWeb"/>
        <w:spacing w:before="0" w:beforeAutospacing="0" w:after="0" w:afterAutospacing="0" w:line="240" w:lineRule="atLeast"/>
        <w:jc w:val="both"/>
        <w:rPr>
          <w:rFonts w:ascii="Arial" w:hAnsi="Arial" w:cs="Arial"/>
          <w:sz w:val="18"/>
          <w:szCs w:val="18"/>
        </w:rPr>
      </w:pPr>
    </w:p>
    <w:sectPr w:rsidR="00236235" w:rsidSect="004814A4">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00" w:rsidRDefault="00755D00">
      <w:r>
        <w:separator/>
      </w:r>
    </w:p>
  </w:endnote>
  <w:endnote w:type="continuationSeparator" w:id="0">
    <w:p w:rsidR="00755D00" w:rsidRDefault="0075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236235">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236235">
      <w:rPr>
        <w:rStyle w:val="Numrodepage0"/>
        <w:noProof/>
        <w:color w:val="808080"/>
      </w:rPr>
      <w:t>2</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734FCF">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734FCF">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00" w:rsidRDefault="00755D00">
      <w:r>
        <w:separator/>
      </w:r>
    </w:p>
  </w:footnote>
  <w:footnote w:type="continuationSeparator" w:id="0">
    <w:p w:rsidR="00755D00" w:rsidRDefault="00755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865D5"/>
    <w:rsid w:val="00393AB5"/>
    <w:rsid w:val="003A01BF"/>
    <w:rsid w:val="003B7DA4"/>
    <w:rsid w:val="003C5DF9"/>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B1A3B"/>
    <w:rsid w:val="004B3E5B"/>
    <w:rsid w:val="004C1780"/>
    <w:rsid w:val="004C1952"/>
    <w:rsid w:val="004D00FC"/>
    <w:rsid w:val="004D64AD"/>
    <w:rsid w:val="004E51ED"/>
    <w:rsid w:val="004E771E"/>
    <w:rsid w:val="004F5960"/>
    <w:rsid w:val="0054496A"/>
    <w:rsid w:val="0055795E"/>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604185"/>
    <w:rsid w:val="00641DC0"/>
    <w:rsid w:val="00657B40"/>
    <w:rsid w:val="0068702C"/>
    <w:rsid w:val="00692B21"/>
    <w:rsid w:val="006C255E"/>
    <w:rsid w:val="006C45B2"/>
    <w:rsid w:val="006C4A03"/>
    <w:rsid w:val="006D3103"/>
    <w:rsid w:val="006D77DB"/>
    <w:rsid w:val="006E0721"/>
    <w:rsid w:val="006F7A29"/>
    <w:rsid w:val="00704E3E"/>
    <w:rsid w:val="00717D44"/>
    <w:rsid w:val="007208A7"/>
    <w:rsid w:val="00734FCF"/>
    <w:rsid w:val="007435DA"/>
    <w:rsid w:val="00744425"/>
    <w:rsid w:val="00745AFB"/>
    <w:rsid w:val="0074672E"/>
    <w:rsid w:val="00755D00"/>
    <w:rsid w:val="00765A59"/>
    <w:rsid w:val="00770D55"/>
    <w:rsid w:val="007731B4"/>
    <w:rsid w:val="00777A27"/>
    <w:rsid w:val="00780098"/>
    <w:rsid w:val="007925F8"/>
    <w:rsid w:val="007A0127"/>
    <w:rsid w:val="007A3D4C"/>
    <w:rsid w:val="007A7558"/>
    <w:rsid w:val="007D49C2"/>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E16FA"/>
    <w:rsid w:val="008E22BC"/>
    <w:rsid w:val="008F043C"/>
    <w:rsid w:val="008F15E2"/>
    <w:rsid w:val="008F5B0D"/>
    <w:rsid w:val="0095196D"/>
    <w:rsid w:val="0095301F"/>
    <w:rsid w:val="00955029"/>
    <w:rsid w:val="00957528"/>
    <w:rsid w:val="00957D82"/>
    <w:rsid w:val="00960CB2"/>
    <w:rsid w:val="00972A8F"/>
    <w:rsid w:val="009B3C86"/>
    <w:rsid w:val="009C6241"/>
    <w:rsid w:val="009E0393"/>
    <w:rsid w:val="009E4513"/>
    <w:rsid w:val="009F3168"/>
    <w:rsid w:val="009F4F3B"/>
    <w:rsid w:val="00A01783"/>
    <w:rsid w:val="00A06C26"/>
    <w:rsid w:val="00A27B37"/>
    <w:rsid w:val="00A51FCE"/>
    <w:rsid w:val="00A534DC"/>
    <w:rsid w:val="00A81E19"/>
    <w:rsid w:val="00A951BF"/>
    <w:rsid w:val="00AB70DE"/>
    <w:rsid w:val="00AC627B"/>
    <w:rsid w:val="00AC7C70"/>
    <w:rsid w:val="00AD433F"/>
    <w:rsid w:val="00B174A3"/>
    <w:rsid w:val="00B32044"/>
    <w:rsid w:val="00B470CF"/>
    <w:rsid w:val="00B51842"/>
    <w:rsid w:val="00B71F46"/>
    <w:rsid w:val="00B838A9"/>
    <w:rsid w:val="00B95AF5"/>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87218"/>
    <w:rsid w:val="00C87F23"/>
    <w:rsid w:val="00CB69C4"/>
    <w:rsid w:val="00CD3802"/>
    <w:rsid w:val="00CF0865"/>
    <w:rsid w:val="00CF585E"/>
    <w:rsid w:val="00D307F9"/>
    <w:rsid w:val="00D37A56"/>
    <w:rsid w:val="00D37C96"/>
    <w:rsid w:val="00D500FA"/>
    <w:rsid w:val="00D541F7"/>
    <w:rsid w:val="00D75F19"/>
    <w:rsid w:val="00D776EF"/>
    <w:rsid w:val="00D80A59"/>
    <w:rsid w:val="00D94C7A"/>
    <w:rsid w:val="00D95CBC"/>
    <w:rsid w:val="00DB2D59"/>
    <w:rsid w:val="00DB4ABE"/>
    <w:rsid w:val="00DC45D6"/>
    <w:rsid w:val="00DC46FC"/>
    <w:rsid w:val="00DD67B2"/>
    <w:rsid w:val="00DF7C85"/>
    <w:rsid w:val="00E05C8C"/>
    <w:rsid w:val="00E10861"/>
    <w:rsid w:val="00E12C70"/>
    <w:rsid w:val="00E13ADF"/>
    <w:rsid w:val="00E238FF"/>
    <w:rsid w:val="00E30E6C"/>
    <w:rsid w:val="00E628CE"/>
    <w:rsid w:val="00E76F7C"/>
    <w:rsid w:val="00E772D8"/>
    <w:rsid w:val="00E82583"/>
    <w:rsid w:val="00E92E39"/>
    <w:rsid w:val="00E94580"/>
    <w:rsid w:val="00E95D0E"/>
    <w:rsid w:val="00E97ACA"/>
    <w:rsid w:val="00EA7710"/>
    <w:rsid w:val="00EE123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6EF2"/>
    <w:rsid w:val="00FD20AB"/>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0</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VIDAL Cecile (Interimaire)</cp:lastModifiedBy>
  <cp:revision>2</cp:revision>
  <cp:lastPrinted>2011-06-28T10:25:00Z</cp:lastPrinted>
  <dcterms:created xsi:type="dcterms:W3CDTF">2018-06-26T10:50:00Z</dcterms:created>
  <dcterms:modified xsi:type="dcterms:W3CDTF">2018-06-26T10:50:00Z</dcterms:modified>
  <cp:category>Interne</cp:category>
</cp:coreProperties>
</file>