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6A" w:rsidRPr="0025453E" w:rsidRDefault="006A1A0A" w:rsidP="00036098">
      <w:pPr>
        <w:rPr>
          <w:rFonts w:cs="Arial"/>
          <w:szCs w:val="18"/>
          <w:lang w:val="en-GB"/>
        </w:rPr>
      </w:pPr>
      <w:r w:rsidRPr="0025453E">
        <w:rPr>
          <w:rFonts w:cs="Arial"/>
          <w:b/>
          <w:szCs w:val="18"/>
          <w:lang w:val="en-GB"/>
        </w:rPr>
        <w:t>Methods for calculating the commitment of non-standard derivatives</w:t>
      </w:r>
    </w:p>
    <w:p w:rsidR="00236235" w:rsidRPr="0025453E" w:rsidRDefault="00236235" w:rsidP="00BE401C">
      <w:pPr>
        <w:rPr>
          <w:iCs/>
          <w:szCs w:val="18"/>
          <w:lang w:val="en-GB"/>
        </w:rPr>
      </w:pPr>
    </w:p>
    <w:p w:rsidR="00236235" w:rsidRPr="0025453E" w:rsidRDefault="00601BF1" w:rsidP="00236235">
      <w:pPr>
        <w:spacing w:after="120"/>
        <w:rPr>
          <w:rFonts w:cs="Arial"/>
          <w:szCs w:val="18"/>
          <w:lang w:val="en-GB"/>
        </w:rPr>
      </w:pPr>
      <w:r>
        <w:rPr>
          <w:iCs/>
          <w:szCs w:val="18"/>
          <w:lang w:val="en-GB"/>
        </w:rPr>
        <w:t xml:space="preserve">This document is </w:t>
      </w:r>
      <w:r w:rsidR="00860CA9">
        <w:rPr>
          <w:iCs/>
          <w:szCs w:val="18"/>
          <w:lang w:val="en-GB"/>
        </w:rPr>
        <w:t>Annex III of AMF Instruction DOC-</w:t>
      </w:r>
      <w:r>
        <w:rPr>
          <w:lang w:val="en-GB"/>
        </w:rPr>
        <w:t xml:space="preserve">2011-15 </w:t>
      </w:r>
      <w:bookmarkStart w:id="0" w:name="_GoBack"/>
      <w:bookmarkEnd w:id="0"/>
      <w:r w:rsidR="006A1A0A" w:rsidRPr="0025453E">
        <w:rPr>
          <w:rFonts w:cs="Arial"/>
          <w:szCs w:val="18"/>
          <w:lang w:val="en-GB"/>
        </w:rPr>
        <w:t xml:space="preserve">– Calculation of global exposure for authorised </w:t>
      </w:r>
      <w:r w:rsidR="00860CA9">
        <w:rPr>
          <w:rFonts w:cs="Arial"/>
          <w:szCs w:val="18"/>
          <w:lang w:val="en-GB"/>
        </w:rPr>
        <w:t>UCITS</w:t>
      </w:r>
      <w:r w:rsidR="006A1A0A" w:rsidRPr="0025453E">
        <w:rPr>
          <w:rFonts w:cs="Arial"/>
          <w:szCs w:val="18"/>
          <w:lang w:val="en-GB"/>
        </w:rPr>
        <w:t xml:space="preserve"> and AIFs</w:t>
      </w:r>
      <w:r w:rsidR="00236235" w:rsidRPr="0025453E">
        <w:rPr>
          <w:rFonts w:cs="Arial"/>
          <w:szCs w:val="18"/>
          <w:lang w:val="en-GB"/>
        </w:rPr>
        <w:t>.</w:t>
      </w:r>
    </w:p>
    <w:p w:rsidR="0074672E" w:rsidRPr="0025453E" w:rsidRDefault="0074672E" w:rsidP="00236235">
      <w:pPr>
        <w:spacing w:after="120"/>
        <w:rPr>
          <w:rFonts w:cs="Arial"/>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371"/>
      </w:tblGrid>
      <w:tr w:rsidR="00FD20AB" w:rsidRPr="0025453E" w:rsidTr="00C75CA4">
        <w:tc>
          <w:tcPr>
            <w:tcW w:w="1809" w:type="dxa"/>
            <w:shd w:val="clear" w:color="auto" w:fill="auto"/>
          </w:tcPr>
          <w:p w:rsidR="00FD20AB" w:rsidRPr="0025453E" w:rsidRDefault="006A1A0A" w:rsidP="006A1A0A">
            <w:pPr>
              <w:jc w:val="left"/>
              <w:rPr>
                <w:rFonts w:cs="Arial"/>
                <w:i/>
                <w:szCs w:val="18"/>
                <w:lang w:val="en-GB"/>
              </w:rPr>
            </w:pPr>
            <w:r w:rsidRPr="0025453E">
              <w:rPr>
                <w:rFonts w:cs="Arial"/>
                <w:szCs w:val="18"/>
                <w:lang w:val="en-GB"/>
              </w:rPr>
              <w:t>V</w:t>
            </w:r>
            <w:r w:rsidR="00FD20AB" w:rsidRPr="0025453E">
              <w:rPr>
                <w:rFonts w:cs="Arial"/>
                <w:szCs w:val="18"/>
                <w:lang w:val="en-GB"/>
              </w:rPr>
              <w:t>ariance</w:t>
            </w:r>
            <w:r w:rsidRPr="0025453E">
              <w:rPr>
                <w:rFonts w:cs="Arial"/>
                <w:szCs w:val="18"/>
                <w:lang w:val="en-GB"/>
              </w:rPr>
              <w:t xml:space="preserve"> Swaps</w:t>
            </w:r>
          </w:p>
        </w:tc>
        <w:tc>
          <w:tcPr>
            <w:tcW w:w="7371" w:type="dxa"/>
            <w:shd w:val="clear" w:color="auto" w:fill="auto"/>
          </w:tcPr>
          <w:p w:rsidR="00FD20AB" w:rsidRPr="0025453E" w:rsidRDefault="006A1A0A" w:rsidP="00C75CA4">
            <w:pPr>
              <w:rPr>
                <w:rFonts w:cs="Arial"/>
                <w:szCs w:val="18"/>
                <w:lang w:val="en-GB"/>
              </w:rPr>
            </w:pPr>
            <w:r w:rsidRPr="0025453E">
              <w:rPr>
                <w:rFonts w:cs="Arial"/>
                <w:szCs w:val="18"/>
                <w:lang w:val="en-GB"/>
              </w:rPr>
              <w:t>Variance</w:t>
            </w:r>
            <w:r w:rsidR="00FD20AB" w:rsidRPr="0025453E">
              <w:rPr>
                <w:rFonts w:cs="Arial"/>
                <w:szCs w:val="18"/>
                <w:lang w:val="en-GB"/>
              </w:rPr>
              <w:t xml:space="preserve"> swaps </w:t>
            </w:r>
            <w:r w:rsidRPr="0025453E">
              <w:rPr>
                <w:rFonts w:cs="Arial"/>
                <w:szCs w:val="18"/>
                <w:lang w:val="en-GB"/>
              </w:rPr>
              <w:t xml:space="preserve">are </w:t>
            </w:r>
            <w:r w:rsidR="00FD20AB" w:rsidRPr="0025453E">
              <w:rPr>
                <w:rFonts w:cs="Arial"/>
                <w:szCs w:val="18"/>
                <w:lang w:val="en-GB"/>
              </w:rPr>
              <w:t>contra</w:t>
            </w:r>
            <w:r w:rsidRPr="0025453E">
              <w:rPr>
                <w:rFonts w:cs="Arial"/>
                <w:szCs w:val="18"/>
                <w:lang w:val="en-GB"/>
              </w:rPr>
              <w:t>c</w:t>
            </w:r>
            <w:r w:rsidR="00FD20AB" w:rsidRPr="0025453E">
              <w:rPr>
                <w:rFonts w:cs="Arial"/>
                <w:szCs w:val="18"/>
                <w:lang w:val="en-GB"/>
              </w:rPr>
              <w:t xml:space="preserve">ts </w:t>
            </w:r>
            <w:r w:rsidRPr="0025453E">
              <w:rPr>
                <w:rFonts w:cs="Arial"/>
                <w:szCs w:val="18"/>
                <w:lang w:val="en-GB"/>
              </w:rPr>
              <w:t xml:space="preserve">that allow investors to gain exposure to the </w:t>
            </w:r>
            <w:r w:rsidR="00FD20AB" w:rsidRPr="0025453E">
              <w:rPr>
                <w:rFonts w:cs="Arial"/>
                <w:szCs w:val="18"/>
                <w:lang w:val="en-GB"/>
              </w:rPr>
              <w:t>variance (</w:t>
            </w:r>
            <w:r w:rsidRPr="0025453E">
              <w:rPr>
                <w:rFonts w:cs="Arial"/>
                <w:szCs w:val="18"/>
                <w:lang w:val="en-GB"/>
              </w:rPr>
              <w:t>squared volatility</w:t>
            </w:r>
            <w:r w:rsidR="00FD20AB" w:rsidRPr="0025453E">
              <w:rPr>
                <w:rFonts w:cs="Arial"/>
                <w:szCs w:val="18"/>
                <w:lang w:val="en-GB"/>
              </w:rPr>
              <w:t xml:space="preserve">) </w:t>
            </w:r>
            <w:r w:rsidRPr="0025453E">
              <w:rPr>
                <w:rFonts w:cs="Arial"/>
                <w:szCs w:val="18"/>
                <w:lang w:val="en-GB"/>
              </w:rPr>
              <w:t>against current implied volatility</w:t>
            </w:r>
            <w:r w:rsidR="00FD20AB" w:rsidRPr="0025453E">
              <w:rPr>
                <w:rFonts w:cs="Arial"/>
                <w:szCs w:val="18"/>
                <w:lang w:val="en-GB"/>
              </w:rPr>
              <w:t xml:space="preserve">. </w:t>
            </w:r>
            <w:r w:rsidRPr="0025453E">
              <w:rPr>
                <w:rFonts w:cs="Arial"/>
                <w:szCs w:val="18"/>
                <w:lang w:val="en-GB"/>
              </w:rPr>
              <w:t>According to market practice</w:t>
            </w:r>
            <w:r w:rsidR="00FD20AB" w:rsidRPr="0025453E">
              <w:rPr>
                <w:rFonts w:cs="Arial"/>
                <w:szCs w:val="18"/>
                <w:lang w:val="en-GB"/>
              </w:rPr>
              <w:t xml:space="preserve">, </w:t>
            </w:r>
            <w:r w:rsidRPr="0025453E">
              <w:rPr>
                <w:rFonts w:cs="Arial"/>
                <w:szCs w:val="18"/>
                <w:lang w:val="en-GB"/>
              </w:rPr>
              <w:t xml:space="preserve">the strike and the </w:t>
            </w:r>
            <w:proofErr w:type="spellStart"/>
            <w:r w:rsidRPr="0025453E">
              <w:rPr>
                <w:rFonts w:cs="Arial"/>
                <w:szCs w:val="18"/>
                <w:lang w:val="en-GB"/>
              </w:rPr>
              <w:t>vega</w:t>
            </w:r>
            <w:proofErr w:type="spellEnd"/>
            <w:r w:rsidRPr="0025453E">
              <w:rPr>
                <w:rFonts w:cs="Arial"/>
                <w:szCs w:val="18"/>
                <w:lang w:val="en-GB"/>
              </w:rPr>
              <w:t xml:space="preserve"> notional are expressed in terms of volatility</w:t>
            </w:r>
            <w:r w:rsidR="00FD20AB" w:rsidRPr="0025453E">
              <w:rPr>
                <w:rFonts w:cs="Arial"/>
                <w:szCs w:val="18"/>
                <w:lang w:val="en-GB"/>
              </w:rPr>
              <w:t xml:space="preserve">. </w:t>
            </w:r>
            <w:r w:rsidRPr="0025453E">
              <w:rPr>
                <w:rFonts w:cs="Arial"/>
                <w:szCs w:val="18"/>
                <w:lang w:val="en-GB"/>
              </w:rPr>
              <w:t>For the variance notional, this gives</w:t>
            </w:r>
            <w:r w:rsidR="00FD20AB" w:rsidRPr="0025453E">
              <w:rPr>
                <w:rFonts w:cs="Arial"/>
                <w:szCs w:val="18"/>
                <w:lang w:val="en-GB"/>
              </w:rPr>
              <w:t>:</w:t>
            </w:r>
          </w:p>
          <w:p w:rsidR="00FD20AB" w:rsidRPr="0025453E" w:rsidRDefault="006A1A0A" w:rsidP="00C75CA4">
            <w:pPr>
              <w:rPr>
                <w:rFonts w:cs="Arial"/>
                <w:iCs/>
                <w:szCs w:val="18"/>
                <w:lang w:val="en-GB"/>
              </w:rPr>
            </w:pPr>
            <w:r w:rsidRPr="0025453E">
              <w:rPr>
                <w:rFonts w:cs="Arial"/>
                <w:position w:val="-24"/>
                <w:szCs w:val="18"/>
                <w:lang w:val="en-GB"/>
              </w:rPr>
              <w:object w:dxaOrig="3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85pt;height:20.95pt" o:ole="">
                  <v:imagedata r:id="rId8" o:title=""/>
                </v:shape>
                <o:OLEObject Type="Embed" ProgID="Equation.3" ShapeID="_x0000_i1025" DrawAspect="Content" ObjectID="_1452490857" r:id="rId9"/>
              </w:object>
            </w:r>
          </w:p>
          <w:p w:rsidR="00FD20AB" w:rsidRPr="0025453E" w:rsidRDefault="00FD20AB" w:rsidP="00C75CA4">
            <w:pPr>
              <w:rPr>
                <w:rFonts w:cs="Arial"/>
                <w:i/>
                <w:iCs/>
                <w:szCs w:val="18"/>
                <w:lang w:val="en-GB"/>
              </w:rPr>
            </w:pPr>
          </w:p>
          <w:p w:rsidR="00FD20AB" w:rsidRPr="0025453E" w:rsidRDefault="006A1A0A" w:rsidP="00C75CA4">
            <w:pPr>
              <w:rPr>
                <w:rFonts w:cs="Arial"/>
                <w:szCs w:val="18"/>
                <w:lang w:val="en-GB"/>
              </w:rPr>
            </w:pPr>
            <w:r w:rsidRPr="0025453E">
              <w:rPr>
                <w:rFonts w:cs="Arial"/>
                <w:szCs w:val="18"/>
                <w:lang w:val="en-GB"/>
              </w:rPr>
              <w:t xml:space="preserve">The </w:t>
            </w:r>
            <w:proofErr w:type="spellStart"/>
            <w:r w:rsidRPr="0025453E">
              <w:rPr>
                <w:rFonts w:cs="Arial"/>
                <w:szCs w:val="18"/>
                <w:lang w:val="en-GB"/>
              </w:rPr>
              <w:t>vega</w:t>
            </w:r>
            <w:proofErr w:type="spellEnd"/>
            <w:r w:rsidRPr="0025453E">
              <w:rPr>
                <w:rFonts w:cs="Arial"/>
                <w:szCs w:val="18"/>
                <w:lang w:val="en-GB"/>
              </w:rPr>
              <w:t xml:space="preserve"> notional provides a theoretical measure of the profit or loss resulting from a </w:t>
            </w:r>
            <w:r w:rsidR="00FD20AB" w:rsidRPr="0025453E">
              <w:rPr>
                <w:rFonts w:cs="Arial"/>
                <w:szCs w:val="18"/>
                <w:lang w:val="en-GB"/>
              </w:rPr>
              <w:t xml:space="preserve">1% </w:t>
            </w:r>
            <w:r w:rsidRPr="0025453E">
              <w:rPr>
                <w:rFonts w:cs="Arial"/>
                <w:szCs w:val="18"/>
                <w:lang w:val="en-GB"/>
              </w:rPr>
              <w:t>change in</w:t>
            </w:r>
            <w:r w:rsidR="00FD20AB" w:rsidRPr="0025453E">
              <w:rPr>
                <w:rFonts w:cs="Arial"/>
                <w:szCs w:val="18"/>
                <w:lang w:val="en-GB"/>
              </w:rPr>
              <w:t xml:space="preserve"> volatilit</w:t>
            </w:r>
            <w:r w:rsidRPr="0025453E">
              <w:rPr>
                <w:rFonts w:cs="Arial"/>
                <w:szCs w:val="18"/>
                <w:lang w:val="en-GB"/>
              </w:rPr>
              <w:t>y</w:t>
            </w:r>
            <w:r w:rsidR="00FD20AB" w:rsidRPr="0025453E">
              <w:rPr>
                <w:rFonts w:cs="Arial"/>
                <w:szCs w:val="18"/>
                <w:lang w:val="en-GB"/>
              </w:rPr>
              <w:t>.</w:t>
            </w:r>
          </w:p>
          <w:p w:rsidR="00FD20AB" w:rsidRPr="0025453E" w:rsidRDefault="006A1A0A" w:rsidP="00C75CA4">
            <w:pPr>
              <w:rPr>
                <w:rFonts w:cs="Arial"/>
                <w:szCs w:val="18"/>
                <w:lang w:val="en-GB"/>
              </w:rPr>
            </w:pPr>
            <w:r w:rsidRPr="0025453E">
              <w:rPr>
                <w:rFonts w:cs="Arial"/>
                <w:szCs w:val="18"/>
                <w:lang w:val="en-GB"/>
              </w:rPr>
              <w:t>As realised volatility cannot be less than zero, a long swap position has a known maximum loss</w:t>
            </w:r>
            <w:r w:rsidR="00FD20AB" w:rsidRPr="0025453E">
              <w:rPr>
                <w:rFonts w:cs="Arial"/>
                <w:szCs w:val="18"/>
                <w:lang w:val="en-GB"/>
              </w:rPr>
              <w:t xml:space="preserve">. </w:t>
            </w:r>
            <w:r w:rsidRPr="0025453E">
              <w:rPr>
                <w:rFonts w:cs="Arial"/>
                <w:szCs w:val="18"/>
                <w:lang w:val="en-GB"/>
              </w:rPr>
              <w:t xml:space="preserve">The maximum loss on a short swap is often limited by the </w:t>
            </w:r>
            <w:r w:rsidR="00FD20AB" w:rsidRPr="0025453E">
              <w:rPr>
                <w:rFonts w:cs="Arial"/>
                <w:szCs w:val="18"/>
                <w:lang w:val="en-GB"/>
              </w:rPr>
              <w:t xml:space="preserve">inclusion </w:t>
            </w:r>
            <w:r w:rsidRPr="0025453E">
              <w:rPr>
                <w:rFonts w:cs="Arial"/>
                <w:szCs w:val="18"/>
                <w:lang w:val="en-GB"/>
              </w:rPr>
              <w:t>of a cap on</w:t>
            </w:r>
            <w:r w:rsidR="00FD20AB" w:rsidRPr="0025453E">
              <w:rPr>
                <w:rFonts w:cs="Arial"/>
                <w:szCs w:val="18"/>
                <w:lang w:val="en-GB"/>
              </w:rPr>
              <w:t xml:space="preserve"> volatilit</w:t>
            </w:r>
            <w:r w:rsidRPr="0025453E">
              <w:rPr>
                <w:rFonts w:cs="Arial"/>
                <w:szCs w:val="18"/>
                <w:lang w:val="en-GB"/>
              </w:rPr>
              <w:t>y</w:t>
            </w:r>
            <w:r w:rsidR="00FD20AB" w:rsidRPr="0025453E">
              <w:rPr>
                <w:rFonts w:cs="Arial"/>
                <w:szCs w:val="18"/>
                <w:lang w:val="en-GB"/>
              </w:rPr>
              <w:t xml:space="preserve">. </w:t>
            </w:r>
          </w:p>
          <w:p w:rsidR="00FD20AB" w:rsidRPr="0025453E" w:rsidRDefault="00FD20AB" w:rsidP="00C75CA4">
            <w:pPr>
              <w:jc w:val="left"/>
              <w:rPr>
                <w:rFonts w:cs="Arial"/>
                <w:szCs w:val="18"/>
                <w:lang w:val="en-GB"/>
              </w:rPr>
            </w:pPr>
          </w:p>
          <w:p w:rsidR="00FD20AB" w:rsidRPr="0025453E" w:rsidRDefault="00E11EDA" w:rsidP="00C75CA4">
            <w:pPr>
              <w:rPr>
                <w:rFonts w:cs="Arial"/>
                <w:szCs w:val="18"/>
                <w:lang w:val="en-GB"/>
              </w:rPr>
            </w:pPr>
            <w:r w:rsidRPr="0025453E">
              <w:rPr>
                <w:rFonts w:cs="Arial"/>
                <w:szCs w:val="18"/>
                <w:lang w:val="en-GB"/>
              </w:rPr>
              <w:t>Without a cap, however, a short swap’s potential losses are unlimited</w:t>
            </w:r>
            <w:r w:rsidR="00FD20AB" w:rsidRPr="0025453E">
              <w:rPr>
                <w:rFonts w:cs="Arial"/>
                <w:szCs w:val="18"/>
                <w:lang w:val="en-GB"/>
              </w:rPr>
              <w:t>.</w:t>
            </w:r>
          </w:p>
          <w:p w:rsidR="00FD20AB" w:rsidRPr="0025453E" w:rsidRDefault="00FD20AB" w:rsidP="00C75CA4">
            <w:pPr>
              <w:jc w:val="left"/>
              <w:rPr>
                <w:rFonts w:cs="Arial"/>
                <w:szCs w:val="18"/>
                <w:lang w:val="en-GB"/>
              </w:rPr>
            </w:pPr>
          </w:p>
          <w:p w:rsidR="00FD20AB" w:rsidRPr="0025453E" w:rsidRDefault="00E11EDA" w:rsidP="00C75CA4">
            <w:pPr>
              <w:jc w:val="left"/>
              <w:rPr>
                <w:rFonts w:cs="Arial"/>
                <w:szCs w:val="18"/>
                <w:lang w:val="en-GB"/>
              </w:rPr>
            </w:pPr>
            <w:r w:rsidRPr="0025453E">
              <w:rPr>
                <w:rFonts w:cs="Arial"/>
                <w:szCs w:val="18"/>
                <w:lang w:val="en-GB"/>
              </w:rPr>
              <w:t xml:space="preserve">The conversion methodology to be used for a given contract time </w:t>
            </w:r>
            <w:r w:rsidR="00FD20AB" w:rsidRPr="0025453E">
              <w:rPr>
                <w:rFonts w:cs="Arial"/>
                <w:i/>
                <w:szCs w:val="18"/>
                <w:lang w:val="en-GB"/>
              </w:rPr>
              <w:t>t</w:t>
            </w:r>
            <w:r w:rsidR="00FD20AB" w:rsidRPr="0025453E">
              <w:rPr>
                <w:rFonts w:cs="Arial"/>
                <w:szCs w:val="18"/>
                <w:lang w:val="en-GB"/>
              </w:rPr>
              <w:t xml:space="preserve"> </w:t>
            </w:r>
            <w:r w:rsidRPr="0025453E">
              <w:rPr>
                <w:rFonts w:cs="Arial"/>
                <w:szCs w:val="18"/>
                <w:lang w:val="en-GB"/>
              </w:rPr>
              <w:t>is</w:t>
            </w:r>
            <w:r w:rsidR="00FD20AB" w:rsidRPr="0025453E">
              <w:rPr>
                <w:rFonts w:cs="Arial"/>
                <w:szCs w:val="18"/>
                <w:lang w:val="en-GB"/>
              </w:rPr>
              <w:t xml:space="preserve">: </w:t>
            </w:r>
          </w:p>
          <w:p w:rsidR="00FD20AB" w:rsidRPr="0025453E" w:rsidRDefault="00E11EDA" w:rsidP="00C75CA4">
            <w:pPr>
              <w:jc w:val="left"/>
              <w:rPr>
                <w:rFonts w:cs="Arial"/>
                <w:szCs w:val="18"/>
                <w:lang w:val="en-GB"/>
              </w:rPr>
            </w:pPr>
            <w:r w:rsidRPr="0025453E">
              <w:rPr>
                <w:rFonts w:cs="Arial"/>
                <w:szCs w:val="18"/>
                <w:lang w:val="en-GB"/>
              </w:rPr>
              <w:t xml:space="preserve">Variance </w:t>
            </w:r>
            <w:r w:rsidR="00FD20AB" w:rsidRPr="0025453E">
              <w:rPr>
                <w:rFonts w:cs="Arial"/>
                <w:szCs w:val="18"/>
                <w:lang w:val="en-GB"/>
              </w:rPr>
              <w:t>No</w:t>
            </w:r>
            <w:r w:rsidRPr="0025453E">
              <w:rPr>
                <w:rFonts w:cs="Arial"/>
                <w:szCs w:val="18"/>
                <w:lang w:val="en-GB"/>
              </w:rPr>
              <w:t>tional</w:t>
            </w:r>
            <w:r w:rsidR="00FD20AB" w:rsidRPr="0025453E">
              <w:rPr>
                <w:rFonts w:cs="Arial"/>
                <w:szCs w:val="18"/>
                <w:lang w:val="en-GB"/>
              </w:rPr>
              <w:t xml:space="preserve"> * </w:t>
            </w:r>
            <w:r w:rsidRPr="0025453E">
              <w:rPr>
                <w:rFonts w:cs="Arial"/>
                <w:szCs w:val="18"/>
                <w:lang w:val="en-GB"/>
              </w:rPr>
              <w:t xml:space="preserve">(current) </w:t>
            </w:r>
            <w:proofErr w:type="spellStart"/>
            <w:r w:rsidR="00FD20AB" w:rsidRPr="0025453E">
              <w:rPr>
                <w:rFonts w:cs="Arial"/>
                <w:szCs w:val="18"/>
                <w:lang w:val="en-GB"/>
              </w:rPr>
              <w:t>Variance</w:t>
            </w:r>
            <w:r w:rsidR="00FD20AB" w:rsidRPr="0025453E">
              <w:rPr>
                <w:rFonts w:cs="Arial"/>
                <w:szCs w:val="18"/>
                <w:vertAlign w:val="subscript"/>
                <w:lang w:val="en-GB"/>
              </w:rPr>
              <w:t>t</w:t>
            </w:r>
            <w:proofErr w:type="spellEnd"/>
            <w:r w:rsidR="00FD20AB" w:rsidRPr="0025453E">
              <w:rPr>
                <w:rFonts w:cs="Arial"/>
                <w:szCs w:val="18"/>
                <w:lang w:val="en-GB"/>
              </w:rPr>
              <w:t xml:space="preserve"> (</w:t>
            </w:r>
            <w:r w:rsidRPr="0025453E">
              <w:rPr>
                <w:rFonts w:cs="Arial"/>
                <w:szCs w:val="18"/>
                <w:lang w:val="en-GB"/>
              </w:rPr>
              <w:t>without</w:t>
            </w:r>
            <w:r w:rsidR="00FD20AB" w:rsidRPr="0025453E">
              <w:rPr>
                <w:rFonts w:cs="Arial"/>
                <w:szCs w:val="18"/>
                <w:lang w:val="en-GB"/>
              </w:rPr>
              <w:t xml:space="preserve"> volatilit</w:t>
            </w:r>
            <w:r w:rsidRPr="0025453E">
              <w:rPr>
                <w:rFonts w:cs="Arial"/>
                <w:szCs w:val="18"/>
                <w:lang w:val="en-GB"/>
              </w:rPr>
              <w:t>y cap</w:t>
            </w:r>
            <w:r w:rsidR="00FD20AB" w:rsidRPr="0025453E">
              <w:rPr>
                <w:rFonts w:cs="Arial"/>
                <w:szCs w:val="18"/>
                <w:lang w:val="en-GB"/>
              </w:rPr>
              <w:t>)</w:t>
            </w:r>
          </w:p>
          <w:p w:rsidR="00FD20AB" w:rsidRPr="0025453E" w:rsidRDefault="00E11EDA" w:rsidP="00C75CA4">
            <w:pPr>
              <w:jc w:val="left"/>
              <w:rPr>
                <w:rFonts w:cs="Arial"/>
                <w:szCs w:val="18"/>
                <w:lang w:val="en-GB"/>
              </w:rPr>
            </w:pPr>
            <w:r w:rsidRPr="0025453E">
              <w:rPr>
                <w:rFonts w:cs="Arial"/>
                <w:szCs w:val="18"/>
                <w:lang w:val="en-GB"/>
              </w:rPr>
              <w:t>Variance Notional</w:t>
            </w:r>
            <w:r w:rsidR="00FD20AB" w:rsidRPr="0025453E">
              <w:rPr>
                <w:rFonts w:cs="Arial"/>
                <w:szCs w:val="18"/>
                <w:lang w:val="en-GB"/>
              </w:rPr>
              <w:t xml:space="preserve"> * min [</w:t>
            </w:r>
            <w:r w:rsidRPr="0025453E">
              <w:rPr>
                <w:rFonts w:cs="Arial"/>
                <w:szCs w:val="18"/>
                <w:lang w:val="en-GB"/>
              </w:rPr>
              <w:t>(curre</w:t>
            </w:r>
            <w:r w:rsidR="0025453E" w:rsidRPr="0025453E">
              <w:rPr>
                <w:rFonts w:cs="Arial"/>
                <w:szCs w:val="18"/>
                <w:lang w:val="en-GB"/>
              </w:rPr>
              <w:t>n</w:t>
            </w:r>
            <w:r w:rsidR="008E4D43">
              <w:rPr>
                <w:rFonts w:cs="Arial"/>
                <w:szCs w:val="18"/>
                <w:lang w:val="en-GB"/>
              </w:rPr>
              <w:t>t</w:t>
            </w:r>
            <w:r w:rsidRPr="0025453E">
              <w:rPr>
                <w:rFonts w:cs="Arial"/>
                <w:szCs w:val="18"/>
                <w:lang w:val="en-GB"/>
              </w:rPr>
              <w:t xml:space="preserve">) </w:t>
            </w:r>
            <w:proofErr w:type="spellStart"/>
            <w:r w:rsidR="00FD20AB" w:rsidRPr="0025453E">
              <w:rPr>
                <w:rFonts w:cs="Arial"/>
                <w:szCs w:val="18"/>
                <w:lang w:val="en-GB"/>
              </w:rPr>
              <w:t>Variance</w:t>
            </w:r>
            <w:r w:rsidR="00FD20AB" w:rsidRPr="0025453E">
              <w:rPr>
                <w:rFonts w:cs="Arial"/>
                <w:szCs w:val="18"/>
                <w:vertAlign w:val="subscript"/>
                <w:lang w:val="en-GB"/>
              </w:rPr>
              <w:t>t</w:t>
            </w:r>
            <w:proofErr w:type="spellEnd"/>
            <w:r w:rsidRPr="0025453E">
              <w:rPr>
                <w:rFonts w:cs="Arial"/>
                <w:szCs w:val="18"/>
                <w:vertAlign w:val="subscript"/>
                <w:lang w:val="en-GB"/>
              </w:rPr>
              <w:t> </w:t>
            </w:r>
            <w:r w:rsidRPr="0025453E">
              <w:rPr>
                <w:rFonts w:cs="Arial"/>
                <w:szCs w:val="18"/>
                <w:lang w:val="en-GB"/>
              </w:rPr>
              <w:t xml:space="preserve">; </w:t>
            </w:r>
            <w:r w:rsidR="00FD20AB" w:rsidRPr="0025453E">
              <w:rPr>
                <w:rFonts w:cs="Arial"/>
                <w:szCs w:val="18"/>
                <w:lang w:val="en-GB"/>
              </w:rPr>
              <w:t>(</w:t>
            </w:r>
            <w:r w:rsidRPr="0025453E">
              <w:rPr>
                <w:rFonts w:cs="Arial"/>
                <w:szCs w:val="18"/>
                <w:lang w:val="en-GB"/>
              </w:rPr>
              <w:t>volatility cap</w:t>
            </w:r>
            <w:r w:rsidR="00FD20AB" w:rsidRPr="0025453E">
              <w:rPr>
                <w:rFonts w:cs="Arial"/>
                <w:szCs w:val="18"/>
                <w:lang w:val="en-GB"/>
              </w:rPr>
              <w:t>)</w:t>
            </w:r>
            <w:r w:rsidR="00FD20AB" w:rsidRPr="0025453E">
              <w:rPr>
                <w:rFonts w:cs="Arial"/>
                <w:szCs w:val="18"/>
                <w:vertAlign w:val="superscript"/>
                <w:lang w:val="en-GB"/>
              </w:rPr>
              <w:t>2</w:t>
            </w:r>
            <w:r w:rsidR="00FD20AB" w:rsidRPr="0025453E">
              <w:rPr>
                <w:rFonts w:cs="Arial"/>
                <w:szCs w:val="18"/>
                <w:lang w:val="en-GB"/>
              </w:rPr>
              <w:t>] (</w:t>
            </w:r>
            <w:r w:rsidRPr="0025453E">
              <w:rPr>
                <w:rFonts w:cs="Arial"/>
                <w:szCs w:val="18"/>
                <w:lang w:val="en-GB"/>
              </w:rPr>
              <w:t>with volatility cap</w:t>
            </w:r>
            <w:r w:rsidR="00FD20AB" w:rsidRPr="0025453E">
              <w:rPr>
                <w:rFonts w:cs="Arial"/>
                <w:szCs w:val="18"/>
                <w:lang w:val="en-GB"/>
              </w:rPr>
              <w:t>)</w:t>
            </w:r>
          </w:p>
          <w:p w:rsidR="00FD20AB" w:rsidRPr="0025453E" w:rsidRDefault="00FD20AB" w:rsidP="00C75CA4">
            <w:pPr>
              <w:jc w:val="left"/>
              <w:rPr>
                <w:rFonts w:cs="Arial"/>
                <w:szCs w:val="18"/>
                <w:lang w:val="en-GB"/>
              </w:rPr>
            </w:pPr>
          </w:p>
          <w:p w:rsidR="00FD20AB" w:rsidRPr="0025453E" w:rsidRDefault="00E11EDA" w:rsidP="00C75CA4">
            <w:pPr>
              <w:jc w:val="left"/>
              <w:rPr>
                <w:rFonts w:cs="Arial"/>
                <w:szCs w:val="18"/>
                <w:lang w:val="en-GB"/>
              </w:rPr>
            </w:pPr>
            <w:r w:rsidRPr="0025453E">
              <w:rPr>
                <w:rFonts w:cs="Arial"/>
                <w:szCs w:val="18"/>
                <w:lang w:val="en-GB"/>
              </w:rPr>
              <w:t>whereby</w:t>
            </w:r>
            <w:r w:rsidR="00FD20AB" w:rsidRPr="0025453E">
              <w:rPr>
                <w:rFonts w:cs="Arial"/>
                <w:szCs w:val="18"/>
                <w:lang w:val="en-GB"/>
              </w:rPr>
              <w:t xml:space="preserve">: </w:t>
            </w:r>
            <w:r w:rsidRPr="0025453E">
              <w:rPr>
                <w:rFonts w:cs="Arial"/>
                <w:szCs w:val="18"/>
                <w:lang w:val="en-GB"/>
              </w:rPr>
              <w:t xml:space="preserve">(current) </w:t>
            </w:r>
            <w:proofErr w:type="spellStart"/>
            <w:r w:rsidR="00E76F6A">
              <w:rPr>
                <w:rFonts w:cs="Arial"/>
                <w:szCs w:val="18"/>
                <w:lang w:val="en-GB"/>
              </w:rPr>
              <w:t>v</w:t>
            </w:r>
            <w:r w:rsidR="00FD20AB" w:rsidRPr="0025453E">
              <w:rPr>
                <w:rFonts w:cs="Arial"/>
                <w:szCs w:val="18"/>
                <w:lang w:val="en-GB"/>
              </w:rPr>
              <w:t>ariance</w:t>
            </w:r>
            <w:r w:rsidR="00FD20AB" w:rsidRPr="0025453E">
              <w:rPr>
                <w:rFonts w:cs="Arial"/>
                <w:szCs w:val="18"/>
                <w:vertAlign w:val="subscript"/>
                <w:lang w:val="en-GB"/>
              </w:rPr>
              <w:t>t</w:t>
            </w:r>
            <w:proofErr w:type="spellEnd"/>
            <w:r w:rsidR="00FD20AB" w:rsidRPr="0025453E">
              <w:rPr>
                <w:rFonts w:cs="Arial"/>
                <w:szCs w:val="18"/>
                <w:lang w:val="en-GB"/>
              </w:rPr>
              <w:t xml:space="preserve"> </w:t>
            </w:r>
            <w:r w:rsidRPr="0025453E">
              <w:rPr>
                <w:rFonts w:cs="Arial"/>
                <w:szCs w:val="18"/>
                <w:lang w:val="en-GB"/>
              </w:rPr>
              <w:t>is a function of the squared realised and impli</w:t>
            </w:r>
            <w:r w:rsidR="0025453E" w:rsidRPr="0025453E">
              <w:rPr>
                <w:rFonts w:cs="Arial"/>
                <w:szCs w:val="18"/>
                <w:lang w:val="en-GB"/>
              </w:rPr>
              <w:t>cit</w:t>
            </w:r>
            <w:r w:rsidRPr="0025453E">
              <w:rPr>
                <w:rFonts w:cs="Arial"/>
                <w:szCs w:val="18"/>
                <w:lang w:val="en-GB"/>
              </w:rPr>
              <w:t xml:space="preserve"> volatility</w:t>
            </w:r>
            <w:r w:rsidR="005A4194" w:rsidRPr="0025453E">
              <w:rPr>
                <w:rFonts w:cs="Arial"/>
                <w:szCs w:val="18"/>
                <w:lang w:val="en-GB"/>
              </w:rPr>
              <w:t>, more precisely</w:t>
            </w:r>
            <w:r w:rsidR="00FD20AB" w:rsidRPr="0025453E">
              <w:rPr>
                <w:rFonts w:cs="Arial"/>
                <w:szCs w:val="18"/>
                <w:lang w:val="en-GB"/>
              </w:rPr>
              <w:t>:</w:t>
            </w:r>
          </w:p>
          <w:p w:rsidR="00FD20AB" w:rsidRPr="0025453E" w:rsidRDefault="0025453E" w:rsidP="00C75CA4">
            <w:pPr>
              <w:jc w:val="left"/>
              <w:rPr>
                <w:rFonts w:cs="Arial"/>
                <w:szCs w:val="18"/>
                <w:lang w:val="en-GB"/>
              </w:rPr>
            </w:pPr>
            <w:r w:rsidRPr="0025453E">
              <w:rPr>
                <w:rFonts w:cs="Arial"/>
                <w:position w:val="-24"/>
                <w:szCs w:val="18"/>
                <w:lang w:val="en-GB"/>
              </w:rPr>
              <w:object w:dxaOrig="7800" w:dyaOrig="620">
                <v:shape id="_x0000_i1026" type="#_x0000_t75" style="width:318.1pt;height:25.25pt" o:ole="">
                  <v:imagedata r:id="rId10" o:title=""/>
                </v:shape>
                <o:OLEObject Type="Embed" ProgID="Equation.3" ShapeID="_x0000_i1026" DrawAspect="Content" ObjectID="_1452490858" r:id="rId11"/>
              </w:object>
            </w:r>
          </w:p>
          <w:p w:rsidR="00FD20AB" w:rsidRPr="0025453E" w:rsidRDefault="00FD20AB" w:rsidP="00C75CA4">
            <w:pPr>
              <w:jc w:val="left"/>
              <w:rPr>
                <w:rFonts w:cs="Arial"/>
                <w:szCs w:val="18"/>
                <w:lang w:val="en-GB"/>
              </w:rPr>
            </w:pPr>
          </w:p>
        </w:tc>
      </w:tr>
      <w:tr w:rsidR="00FD20AB" w:rsidRPr="00860CA9" w:rsidTr="00C75CA4">
        <w:tc>
          <w:tcPr>
            <w:tcW w:w="1809" w:type="dxa"/>
            <w:shd w:val="clear" w:color="auto" w:fill="auto"/>
          </w:tcPr>
          <w:p w:rsidR="00FD20AB" w:rsidRPr="0025453E" w:rsidRDefault="0025453E" w:rsidP="0025453E">
            <w:pPr>
              <w:jc w:val="left"/>
              <w:rPr>
                <w:rFonts w:cs="Arial"/>
                <w:szCs w:val="18"/>
                <w:lang w:val="en-GB"/>
              </w:rPr>
            </w:pPr>
            <w:r w:rsidRPr="0025453E">
              <w:rPr>
                <w:rFonts w:cs="Arial"/>
                <w:szCs w:val="18"/>
                <w:lang w:val="en-GB"/>
              </w:rPr>
              <w:t>Volatility Swaps</w:t>
            </w:r>
          </w:p>
        </w:tc>
        <w:tc>
          <w:tcPr>
            <w:tcW w:w="7371" w:type="dxa"/>
            <w:shd w:val="clear" w:color="auto" w:fill="auto"/>
          </w:tcPr>
          <w:p w:rsidR="00FD20AB" w:rsidRPr="0025453E" w:rsidRDefault="0025453E" w:rsidP="00C75CA4">
            <w:pPr>
              <w:rPr>
                <w:rFonts w:cs="Arial"/>
                <w:szCs w:val="18"/>
                <w:lang w:val="en-GB"/>
              </w:rPr>
            </w:pPr>
            <w:r w:rsidRPr="0025453E">
              <w:rPr>
                <w:rFonts w:cs="Arial"/>
                <w:szCs w:val="18"/>
                <w:lang w:val="en-GB"/>
              </w:rPr>
              <w:t>By analogy with variance swaps, the following conversion formula should be applied to volatility swaps</w:t>
            </w:r>
            <w:r w:rsidR="00FD20AB" w:rsidRPr="0025453E">
              <w:rPr>
                <w:rFonts w:cs="Arial"/>
                <w:szCs w:val="18"/>
                <w:lang w:val="en-GB"/>
              </w:rPr>
              <w:t>:</w:t>
            </w:r>
          </w:p>
          <w:p w:rsidR="00FD20AB" w:rsidRPr="0025453E" w:rsidRDefault="00FD20AB" w:rsidP="00C75CA4">
            <w:pPr>
              <w:jc w:val="left"/>
              <w:rPr>
                <w:rFonts w:cs="Arial"/>
                <w:szCs w:val="18"/>
                <w:lang w:val="en-GB"/>
              </w:rPr>
            </w:pPr>
          </w:p>
          <w:p w:rsidR="0025453E" w:rsidRPr="0025453E" w:rsidRDefault="0025453E" w:rsidP="0025453E">
            <w:pPr>
              <w:jc w:val="left"/>
              <w:rPr>
                <w:rFonts w:cs="Arial"/>
                <w:szCs w:val="18"/>
                <w:lang w:val="en-GB"/>
              </w:rPr>
            </w:pPr>
            <w:r w:rsidRPr="0025453E">
              <w:rPr>
                <w:rFonts w:cs="Arial"/>
                <w:szCs w:val="18"/>
                <w:lang w:val="en-GB"/>
              </w:rPr>
              <w:t xml:space="preserve">Vega Notional * (current) </w:t>
            </w:r>
            <w:proofErr w:type="spellStart"/>
            <w:r w:rsidRPr="0025453E">
              <w:rPr>
                <w:rFonts w:cs="Arial"/>
                <w:szCs w:val="18"/>
                <w:lang w:val="en-GB"/>
              </w:rPr>
              <w:t>Volatility</w:t>
            </w:r>
            <w:r w:rsidRPr="0025453E">
              <w:rPr>
                <w:rFonts w:cs="Arial"/>
                <w:szCs w:val="18"/>
                <w:vertAlign w:val="subscript"/>
                <w:lang w:val="en-GB"/>
              </w:rPr>
              <w:t>t</w:t>
            </w:r>
            <w:proofErr w:type="spellEnd"/>
            <w:r w:rsidRPr="0025453E">
              <w:rPr>
                <w:rFonts w:cs="Arial"/>
                <w:szCs w:val="18"/>
                <w:lang w:val="en-GB"/>
              </w:rPr>
              <w:t xml:space="preserve"> (without volatility cap)</w:t>
            </w:r>
          </w:p>
          <w:p w:rsidR="0025453E" w:rsidRPr="0025453E" w:rsidRDefault="0025453E" w:rsidP="0025453E">
            <w:pPr>
              <w:jc w:val="left"/>
              <w:rPr>
                <w:rFonts w:cs="Arial"/>
                <w:szCs w:val="18"/>
                <w:lang w:val="en-GB"/>
              </w:rPr>
            </w:pPr>
            <w:r w:rsidRPr="0025453E">
              <w:rPr>
                <w:rFonts w:cs="Arial"/>
                <w:szCs w:val="18"/>
                <w:lang w:val="en-GB"/>
              </w:rPr>
              <w:t>Vega Notional * min [(curren</w:t>
            </w:r>
            <w:r w:rsidR="00333AC3">
              <w:rPr>
                <w:rFonts w:cs="Arial"/>
                <w:szCs w:val="18"/>
                <w:lang w:val="en-GB"/>
              </w:rPr>
              <w:t>t</w:t>
            </w:r>
            <w:r w:rsidRPr="0025453E">
              <w:rPr>
                <w:rFonts w:cs="Arial"/>
                <w:szCs w:val="18"/>
                <w:lang w:val="en-GB"/>
              </w:rPr>
              <w:t xml:space="preserve">) </w:t>
            </w:r>
            <w:proofErr w:type="spellStart"/>
            <w:r w:rsidRPr="0025453E">
              <w:rPr>
                <w:rFonts w:cs="Arial"/>
                <w:szCs w:val="18"/>
                <w:lang w:val="en-GB"/>
              </w:rPr>
              <w:t>Volatility</w:t>
            </w:r>
            <w:r w:rsidRPr="0025453E">
              <w:rPr>
                <w:rFonts w:cs="Arial"/>
                <w:szCs w:val="18"/>
                <w:vertAlign w:val="subscript"/>
                <w:lang w:val="en-GB"/>
              </w:rPr>
              <w:t>t</w:t>
            </w:r>
            <w:proofErr w:type="spellEnd"/>
            <w:r w:rsidRPr="0025453E">
              <w:rPr>
                <w:rFonts w:cs="Arial"/>
                <w:szCs w:val="18"/>
                <w:vertAlign w:val="subscript"/>
                <w:lang w:val="en-GB"/>
              </w:rPr>
              <w:t> </w:t>
            </w:r>
            <w:r w:rsidRPr="0025453E">
              <w:rPr>
                <w:rFonts w:cs="Arial"/>
                <w:szCs w:val="18"/>
                <w:lang w:val="en-GB"/>
              </w:rPr>
              <w:t>; (volatility cap)</w:t>
            </w:r>
            <w:r w:rsidRPr="0025453E">
              <w:rPr>
                <w:rFonts w:cs="Arial"/>
                <w:szCs w:val="18"/>
                <w:vertAlign w:val="superscript"/>
                <w:lang w:val="en-GB"/>
              </w:rPr>
              <w:t>2</w:t>
            </w:r>
            <w:r w:rsidRPr="0025453E">
              <w:rPr>
                <w:rFonts w:cs="Arial"/>
                <w:szCs w:val="18"/>
                <w:lang w:val="en-GB"/>
              </w:rPr>
              <w:t>] (with volatility cap)</w:t>
            </w:r>
          </w:p>
          <w:p w:rsidR="0025453E" w:rsidRPr="0025453E" w:rsidRDefault="0025453E" w:rsidP="0025453E">
            <w:pPr>
              <w:jc w:val="left"/>
              <w:rPr>
                <w:rFonts w:cs="Arial"/>
                <w:szCs w:val="18"/>
                <w:lang w:val="en-GB"/>
              </w:rPr>
            </w:pPr>
          </w:p>
          <w:p w:rsidR="00FD20AB" w:rsidRPr="0025453E" w:rsidRDefault="0025453E" w:rsidP="00C75CA4">
            <w:pPr>
              <w:jc w:val="left"/>
              <w:rPr>
                <w:rFonts w:cs="Arial"/>
                <w:szCs w:val="18"/>
                <w:lang w:val="en-GB"/>
              </w:rPr>
            </w:pPr>
            <w:proofErr w:type="gramStart"/>
            <w:r w:rsidRPr="0025453E">
              <w:rPr>
                <w:rFonts w:cs="Arial"/>
                <w:szCs w:val="18"/>
                <w:lang w:val="en-GB"/>
              </w:rPr>
              <w:t>whereby</w:t>
            </w:r>
            <w:proofErr w:type="gramEnd"/>
            <w:r w:rsidR="00FD20AB" w:rsidRPr="0025453E">
              <w:rPr>
                <w:rFonts w:cs="Arial"/>
                <w:szCs w:val="18"/>
                <w:lang w:val="en-GB"/>
              </w:rPr>
              <w:t xml:space="preserve">: </w:t>
            </w:r>
            <w:r w:rsidRPr="0025453E">
              <w:rPr>
                <w:rFonts w:cs="Arial"/>
                <w:szCs w:val="18"/>
                <w:lang w:val="en-GB"/>
              </w:rPr>
              <w:t xml:space="preserve">(current) </w:t>
            </w:r>
            <w:proofErr w:type="spellStart"/>
            <w:r w:rsidR="00981F2F">
              <w:rPr>
                <w:rFonts w:cs="Arial"/>
                <w:szCs w:val="18"/>
                <w:lang w:val="en-GB"/>
              </w:rPr>
              <w:t>v</w:t>
            </w:r>
            <w:r w:rsidR="00FD20AB" w:rsidRPr="0025453E">
              <w:rPr>
                <w:rFonts w:cs="Arial"/>
                <w:szCs w:val="18"/>
                <w:lang w:val="en-GB"/>
              </w:rPr>
              <w:t>olatilit</w:t>
            </w:r>
            <w:r w:rsidRPr="0025453E">
              <w:rPr>
                <w:rFonts w:cs="Arial"/>
                <w:szCs w:val="18"/>
                <w:lang w:val="en-GB"/>
              </w:rPr>
              <w:t>y</w:t>
            </w:r>
            <w:r w:rsidR="00FD20AB" w:rsidRPr="0025453E">
              <w:rPr>
                <w:rFonts w:cs="Arial"/>
                <w:szCs w:val="18"/>
                <w:vertAlign w:val="subscript"/>
                <w:lang w:val="en-GB"/>
              </w:rPr>
              <w:t>t</w:t>
            </w:r>
            <w:proofErr w:type="spellEnd"/>
            <w:r w:rsidR="00FD20AB" w:rsidRPr="0025453E">
              <w:rPr>
                <w:rFonts w:cs="Arial"/>
                <w:szCs w:val="18"/>
                <w:lang w:val="en-GB"/>
              </w:rPr>
              <w:t xml:space="preserve"> </w:t>
            </w:r>
            <w:r w:rsidRPr="0025453E">
              <w:rPr>
                <w:rFonts w:cs="Arial"/>
                <w:szCs w:val="18"/>
                <w:lang w:val="en-GB"/>
              </w:rPr>
              <w:t>is a function of the realised and implicit volatility</w:t>
            </w:r>
            <w:r w:rsidR="00FD20AB" w:rsidRPr="0025453E">
              <w:rPr>
                <w:rFonts w:cs="Arial"/>
                <w:szCs w:val="18"/>
                <w:lang w:val="en-GB"/>
              </w:rPr>
              <w:t>.</w:t>
            </w:r>
          </w:p>
          <w:p w:rsidR="00FD20AB" w:rsidRPr="0025453E" w:rsidRDefault="00FD20AB" w:rsidP="00C75CA4">
            <w:pPr>
              <w:jc w:val="left"/>
              <w:rPr>
                <w:rFonts w:cs="Arial"/>
                <w:szCs w:val="18"/>
                <w:lang w:val="en-GB"/>
              </w:rPr>
            </w:pPr>
          </w:p>
        </w:tc>
      </w:tr>
      <w:tr w:rsidR="00FD20AB" w:rsidRPr="00860CA9" w:rsidTr="00C75CA4">
        <w:tc>
          <w:tcPr>
            <w:tcW w:w="1809" w:type="dxa"/>
            <w:shd w:val="clear" w:color="auto" w:fill="auto"/>
          </w:tcPr>
          <w:p w:rsidR="00FD20AB" w:rsidRPr="0025453E" w:rsidRDefault="0025453E" w:rsidP="0025453E">
            <w:pPr>
              <w:jc w:val="left"/>
              <w:rPr>
                <w:rFonts w:cs="Arial"/>
                <w:szCs w:val="18"/>
                <w:lang w:val="en-GB"/>
              </w:rPr>
            </w:pPr>
            <w:r w:rsidRPr="0025453E">
              <w:rPr>
                <w:rFonts w:cs="Arial"/>
                <w:szCs w:val="18"/>
                <w:lang w:val="en-GB"/>
              </w:rPr>
              <w:t>Barrier</w:t>
            </w:r>
            <w:r w:rsidR="00FD20AB" w:rsidRPr="0025453E">
              <w:rPr>
                <w:rFonts w:cs="Arial"/>
                <w:szCs w:val="18"/>
                <w:lang w:val="en-GB"/>
              </w:rPr>
              <w:t xml:space="preserve"> (knock-in knock-out)</w:t>
            </w:r>
            <w:r w:rsidRPr="0025453E">
              <w:rPr>
                <w:rFonts w:cs="Arial"/>
                <w:szCs w:val="18"/>
                <w:lang w:val="en-GB"/>
              </w:rPr>
              <w:t xml:space="preserve"> Options</w:t>
            </w:r>
          </w:p>
        </w:tc>
        <w:tc>
          <w:tcPr>
            <w:tcW w:w="7371" w:type="dxa"/>
            <w:shd w:val="clear" w:color="auto" w:fill="auto"/>
          </w:tcPr>
          <w:p w:rsidR="00FD20AB" w:rsidRPr="0025453E" w:rsidRDefault="00FD20AB" w:rsidP="00C75CA4">
            <w:pPr>
              <w:jc w:val="left"/>
              <w:rPr>
                <w:rFonts w:cs="Arial"/>
                <w:szCs w:val="18"/>
                <w:lang w:val="en-GB"/>
              </w:rPr>
            </w:pPr>
            <w:r w:rsidRPr="0025453E">
              <w:rPr>
                <w:rFonts w:cs="Arial"/>
                <w:szCs w:val="18"/>
                <w:lang w:val="en-GB"/>
              </w:rPr>
              <w:t>N</w:t>
            </w:r>
            <w:r w:rsidR="0025453E" w:rsidRPr="0025453E">
              <w:rPr>
                <w:rFonts w:cs="Arial"/>
                <w:szCs w:val="18"/>
                <w:lang w:val="en-GB"/>
              </w:rPr>
              <w:t>umber of</w:t>
            </w:r>
            <w:r w:rsidRPr="0025453E">
              <w:rPr>
                <w:rFonts w:cs="Arial"/>
                <w:szCs w:val="18"/>
                <w:lang w:val="en-GB"/>
              </w:rPr>
              <w:t xml:space="preserve"> contra</w:t>
            </w:r>
            <w:r w:rsidR="0025453E" w:rsidRPr="0025453E">
              <w:rPr>
                <w:rFonts w:cs="Arial"/>
                <w:szCs w:val="18"/>
                <w:lang w:val="en-GB"/>
              </w:rPr>
              <w:t>c</w:t>
            </w:r>
            <w:r w:rsidRPr="0025453E">
              <w:rPr>
                <w:rFonts w:cs="Arial"/>
                <w:szCs w:val="18"/>
                <w:lang w:val="en-GB"/>
              </w:rPr>
              <w:t xml:space="preserve">ts * </w:t>
            </w:r>
            <w:r w:rsidR="0025453E" w:rsidRPr="0025453E">
              <w:rPr>
                <w:rFonts w:cs="Arial"/>
                <w:szCs w:val="18"/>
                <w:lang w:val="en-GB"/>
              </w:rPr>
              <w:t>notional contract size</w:t>
            </w:r>
            <w:r w:rsidRPr="0025453E">
              <w:rPr>
                <w:rFonts w:cs="Arial"/>
                <w:szCs w:val="18"/>
                <w:lang w:val="en-GB"/>
              </w:rPr>
              <w:t xml:space="preserve"> * </w:t>
            </w:r>
            <w:r w:rsidR="0025453E" w:rsidRPr="0025453E">
              <w:rPr>
                <w:rFonts w:cs="Arial"/>
                <w:szCs w:val="18"/>
                <w:lang w:val="en-GB"/>
              </w:rPr>
              <w:t>market value of underlying equity share</w:t>
            </w:r>
            <w:r w:rsidRPr="0025453E">
              <w:rPr>
                <w:rFonts w:cs="Arial"/>
                <w:szCs w:val="18"/>
                <w:lang w:val="en-GB"/>
              </w:rPr>
              <w:t xml:space="preserve"> * </w:t>
            </w:r>
            <w:r w:rsidR="0025453E" w:rsidRPr="0025453E">
              <w:rPr>
                <w:rFonts w:cs="Arial"/>
                <w:szCs w:val="18"/>
                <w:lang w:val="en-GB"/>
              </w:rPr>
              <w:t xml:space="preserve">maximum </w:t>
            </w:r>
            <w:r w:rsidRPr="0025453E">
              <w:rPr>
                <w:rFonts w:cs="Arial"/>
                <w:szCs w:val="18"/>
                <w:lang w:val="en-GB"/>
              </w:rPr>
              <w:t xml:space="preserve">delta </w:t>
            </w:r>
          </w:p>
          <w:p w:rsidR="00FD20AB" w:rsidRPr="0025453E" w:rsidRDefault="00FD20AB" w:rsidP="00C75CA4">
            <w:pPr>
              <w:jc w:val="left"/>
              <w:rPr>
                <w:rFonts w:cs="Arial"/>
                <w:szCs w:val="18"/>
                <w:lang w:val="en-GB"/>
              </w:rPr>
            </w:pPr>
          </w:p>
          <w:p w:rsidR="00FD20AB" w:rsidRPr="0025453E" w:rsidRDefault="0025453E" w:rsidP="00C75CA4">
            <w:pPr>
              <w:rPr>
                <w:rFonts w:cs="Arial"/>
                <w:szCs w:val="18"/>
                <w:lang w:val="en-GB"/>
              </w:rPr>
            </w:pPr>
            <w:r>
              <w:rPr>
                <w:rFonts w:cs="Arial"/>
                <w:szCs w:val="18"/>
                <w:lang w:val="en-GB"/>
              </w:rPr>
              <w:t>Whereby the maximum</w:t>
            </w:r>
            <w:r w:rsidR="00FD20AB" w:rsidRPr="0025453E">
              <w:rPr>
                <w:rFonts w:cs="Arial"/>
                <w:szCs w:val="18"/>
                <w:lang w:val="en-GB"/>
              </w:rPr>
              <w:t xml:space="preserve"> delta </w:t>
            </w:r>
            <w:r>
              <w:rPr>
                <w:rFonts w:cs="Arial"/>
                <w:szCs w:val="18"/>
                <w:lang w:val="en-GB"/>
              </w:rPr>
              <w:t>is equal to the highest</w:t>
            </w:r>
            <w:r w:rsidR="00FD20AB" w:rsidRPr="0025453E">
              <w:rPr>
                <w:rFonts w:cs="Arial"/>
                <w:szCs w:val="18"/>
                <w:lang w:val="en-GB"/>
              </w:rPr>
              <w:t xml:space="preserve"> (</w:t>
            </w:r>
            <w:r>
              <w:rPr>
                <w:rFonts w:cs="Arial"/>
                <w:szCs w:val="18"/>
                <w:lang w:val="en-GB"/>
              </w:rPr>
              <w:t>if</w:t>
            </w:r>
            <w:r w:rsidR="00FD20AB" w:rsidRPr="0025453E">
              <w:rPr>
                <w:rFonts w:cs="Arial"/>
                <w:szCs w:val="18"/>
                <w:lang w:val="en-GB"/>
              </w:rPr>
              <w:t xml:space="preserve"> positive) o</w:t>
            </w:r>
            <w:r>
              <w:rPr>
                <w:rFonts w:cs="Arial"/>
                <w:szCs w:val="18"/>
                <w:lang w:val="en-GB"/>
              </w:rPr>
              <w:t>r lowest</w:t>
            </w:r>
            <w:r w:rsidR="00FD20AB" w:rsidRPr="0025453E">
              <w:rPr>
                <w:rFonts w:cs="Arial"/>
                <w:szCs w:val="18"/>
                <w:lang w:val="en-GB"/>
              </w:rPr>
              <w:t xml:space="preserve"> (</w:t>
            </w:r>
            <w:r>
              <w:rPr>
                <w:rFonts w:cs="Arial"/>
                <w:szCs w:val="18"/>
                <w:lang w:val="en-GB"/>
              </w:rPr>
              <w:t>if ne</w:t>
            </w:r>
            <w:r w:rsidR="00FD20AB" w:rsidRPr="0025453E">
              <w:rPr>
                <w:rFonts w:cs="Arial"/>
                <w:szCs w:val="18"/>
                <w:lang w:val="en-GB"/>
              </w:rPr>
              <w:t xml:space="preserve">gative) </w:t>
            </w:r>
            <w:r>
              <w:rPr>
                <w:rFonts w:cs="Arial"/>
                <w:szCs w:val="18"/>
                <w:lang w:val="en-GB"/>
              </w:rPr>
              <w:t>value that the delta of the option may attain taking account of all possible market scenarios</w:t>
            </w:r>
            <w:r w:rsidR="00FD20AB" w:rsidRPr="0025453E">
              <w:rPr>
                <w:rFonts w:cs="Arial"/>
                <w:szCs w:val="18"/>
                <w:lang w:val="en-GB"/>
              </w:rPr>
              <w:t xml:space="preserve">.  </w:t>
            </w:r>
          </w:p>
          <w:p w:rsidR="00FD20AB" w:rsidRPr="0025453E" w:rsidRDefault="0025453E" w:rsidP="00C75CA4">
            <w:pPr>
              <w:rPr>
                <w:rFonts w:cs="Arial"/>
                <w:szCs w:val="18"/>
                <w:lang w:val="en-GB"/>
              </w:rPr>
            </w:pPr>
            <w:r>
              <w:rPr>
                <w:rFonts w:cs="Arial"/>
                <w:szCs w:val="18"/>
                <w:lang w:val="en-GB"/>
              </w:rPr>
              <w:t>If use of the commitment approach leads to an infinite value</w:t>
            </w:r>
            <w:r w:rsidR="00FD20AB" w:rsidRPr="0025453E">
              <w:rPr>
                <w:rFonts w:cs="Arial"/>
                <w:szCs w:val="18"/>
                <w:lang w:val="en-GB"/>
              </w:rPr>
              <w:t xml:space="preserve">, </w:t>
            </w:r>
            <w:r w:rsidR="00333AC3">
              <w:rPr>
                <w:rFonts w:cs="Arial"/>
                <w:szCs w:val="18"/>
                <w:lang w:val="en-GB"/>
              </w:rPr>
              <w:t>the maximum potential loss as a result of issuer default may be taken</w:t>
            </w:r>
            <w:r w:rsidR="00FD20AB" w:rsidRPr="0025453E">
              <w:rPr>
                <w:rFonts w:cs="Arial"/>
                <w:szCs w:val="18"/>
                <w:lang w:val="en-GB"/>
              </w:rPr>
              <w:t>. </w:t>
            </w:r>
          </w:p>
          <w:p w:rsidR="00FD20AB" w:rsidRPr="0025453E" w:rsidRDefault="00FD20AB" w:rsidP="00C75CA4">
            <w:pPr>
              <w:jc w:val="left"/>
              <w:rPr>
                <w:rFonts w:cs="Arial"/>
                <w:szCs w:val="18"/>
                <w:lang w:val="en-GB"/>
              </w:rPr>
            </w:pPr>
          </w:p>
        </w:tc>
      </w:tr>
    </w:tbl>
    <w:p w:rsidR="00236235" w:rsidRPr="0025453E" w:rsidRDefault="00236235" w:rsidP="00236235">
      <w:pPr>
        <w:pStyle w:val="NormalWeb"/>
        <w:spacing w:before="0" w:beforeAutospacing="0" w:after="0" w:afterAutospacing="0" w:line="240" w:lineRule="atLeast"/>
        <w:jc w:val="both"/>
        <w:rPr>
          <w:rFonts w:ascii="Arial" w:hAnsi="Arial" w:cs="Arial"/>
          <w:sz w:val="18"/>
          <w:szCs w:val="18"/>
          <w:lang w:val="en-GB"/>
        </w:rPr>
      </w:pPr>
    </w:p>
    <w:sectPr w:rsidR="00236235" w:rsidRPr="0025453E" w:rsidSect="004814A4">
      <w:headerReference w:type="default" r:id="rId12"/>
      <w:footerReference w:type="even" r:id="rId13"/>
      <w:footerReference w:type="default" r:id="rId14"/>
      <w:headerReference w:type="first" r:id="rId15"/>
      <w:footerReference w:type="first" r:id="rId16"/>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31" w:rsidRDefault="004A7831">
      <w:r>
        <w:separator/>
      </w:r>
    </w:p>
  </w:endnote>
  <w:endnote w:type="continuationSeparator" w:id="0">
    <w:p w:rsidR="004A7831" w:rsidRDefault="004A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A" w:rsidRDefault="00BF39DA"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rsidR="00BF39DA" w:rsidRDefault="00BF39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D6" w:rsidRDefault="00DC45D6" w:rsidP="00DC45D6">
    <w:pPr>
      <w:pStyle w:val="Pieddepage"/>
      <w:jc w:val="right"/>
    </w:pPr>
    <w:r w:rsidRPr="00F36185">
      <w:rPr>
        <w:rStyle w:val="Numrodepage0"/>
        <w:color w:val="808080"/>
        <w:szCs w:val="16"/>
      </w:rPr>
      <w:fldChar w:fldCharType="begin"/>
    </w:r>
    <w:r w:rsidRPr="00F36185">
      <w:rPr>
        <w:rStyle w:val="Numrodepage0"/>
        <w:color w:val="808080"/>
        <w:szCs w:val="16"/>
      </w:rPr>
      <w:instrText xml:space="preserve"> PAGE </w:instrText>
    </w:r>
    <w:r w:rsidRPr="00F36185">
      <w:rPr>
        <w:rStyle w:val="Numrodepage0"/>
        <w:color w:val="808080"/>
        <w:szCs w:val="16"/>
      </w:rPr>
      <w:fldChar w:fldCharType="separate"/>
    </w:r>
    <w:r w:rsidR="00236235">
      <w:rPr>
        <w:rStyle w:val="Numrodepage0"/>
        <w:noProof/>
        <w:color w:val="808080"/>
        <w:szCs w:val="16"/>
      </w:rPr>
      <w:t>2</w:t>
    </w:r>
    <w:r w:rsidRPr="00F36185">
      <w:rPr>
        <w:rStyle w:val="Numrodepage0"/>
        <w:color w:val="808080"/>
        <w:szCs w:val="16"/>
      </w:rPr>
      <w:fldChar w:fldCharType="end"/>
    </w:r>
    <w:r w:rsidRPr="00F36185">
      <w:rPr>
        <w:rStyle w:val="Numrodepage0"/>
        <w:color w:val="808080"/>
        <w:szCs w:val="16"/>
      </w:rPr>
      <w:t>/</w:t>
    </w:r>
    <w:r w:rsidRPr="00F36185">
      <w:rPr>
        <w:rStyle w:val="Numrodepage0"/>
        <w:color w:val="808080"/>
      </w:rPr>
      <w:fldChar w:fldCharType="begin"/>
    </w:r>
    <w:r w:rsidRPr="00F36185">
      <w:rPr>
        <w:rStyle w:val="Numrodepage0"/>
        <w:color w:val="808080"/>
      </w:rPr>
      <w:instrText xml:space="preserve"> NUMPAGES </w:instrText>
    </w:r>
    <w:r w:rsidRPr="00F36185">
      <w:rPr>
        <w:rStyle w:val="Numrodepage0"/>
        <w:color w:val="808080"/>
      </w:rPr>
      <w:fldChar w:fldCharType="separate"/>
    </w:r>
    <w:r w:rsidR="00A90938">
      <w:rPr>
        <w:rStyle w:val="Numrodepage0"/>
        <w:noProof/>
        <w:color w:val="808080"/>
      </w:rPr>
      <w:t>1</w:t>
    </w:r>
    <w:r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D6" w:rsidRPr="00DC45D6" w:rsidRDefault="00DC45D6" w:rsidP="00DC45D6">
    <w:pPr>
      <w:pBdr>
        <w:top w:val="single" w:sz="4" w:space="1" w:color="808080"/>
      </w:pBdr>
      <w:tabs>
        <w:tab w:val="right" w:pos="8222"/>
      </w:tabs>
      <w:jc w:val="left"/>
      <w:rPr>
        <w:color w:val="808080"/>
        <w:sz w:val="16"/>
        <w:szCs w:val="16"/>
      </w:rPr>
    </w:pPr>
    <w:r w:rsidRPr="00DF7C85">
      <w:rPr>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CC7BB6">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Pr="00433BB1">
      <w:rPr>
        <w:rStyle w:val="Numrodepage0"/>
        <w:color w:val="808080"/>
        <w:sz w:val="16"/>
      </w:rPr>
      <w:fldChar w:fldCharType="begin"/>
    </w:r>
    <w:r w:rsidRPr="00433BB1">
      <w:rPr>
        <w:rStyle w:val="Numrodepage0"/>
        <w:color w:val="808080"/>
        <w:sz w:val="16"/>
      </w:rPr>
      <w:instrText xml:space="preserve"> NUMPAGES </w:instrText>
    </w:r>
    <w:r w:rsidRPr="00433BB1">
      <w:rPr>
        <w:rStyle w:val="Numrodepage0"/>
        <w:color w:val="808080"/>
        <w:sz w:val="16"/>
      </w:rPr>
      <w:fldChar w:fldCharType="separate"/>
    </w:r>
    <w:r w:rsidR="00CC7BB6">
      <w:rPr>
        <w:rStyle w:val="Numrodepage0"/>
        <w:noProof/>
        <w:color w:val="808080"/>
        <w:sz w:val="16"/>
      </w:rPr>
      <w:t>1</w:t>
    </w:r>
    <w:r w:rsidRPr="00433BB1">
      <w:rPr>
        <w:rStyle w:val="Numrodepage0"/>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31" w:rsidRDefault="004A7831">
      <w:r>
        <w:separator/>
      </w:r>
    </w:p>
  </w:footnote>
  <w:footnote w:type="continuationSeparator" w:id="0">
    <w:p w:rsidR="004A7831" w:rsidRDefault="004A7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A" w:rsidRPr="00A951BF" w:rsidRDefault="00E94580" w:rsidP="002C60E8">
    <w:pPr>
      <w:pStyle w:val="numrodepage"/>
      <w:pBdr>
        <w:bottom w:val="single" w:sz="4" w:space="1" w:color="808080"/>
      </w:pBdr>
      <w:spacing w:line="240" w:lineRule="auto"/>
      <w:ind w:left="1134"/>
      <w:jc w:val="both"/>
    </w:pPr>
    <w:r>
      <w:rPr>
        <w:noProof/>
        <w:szCs w:val="16"/>
      </w:rPr>
      <w:drawing>
        <wp:anchor distT="0" distB="0" distL="114300" distR="114300" simplePos="0" relativeHeight="251657216" behindDoc="0" locked="0" layoutInCell="1" allowOverlap="1" wp14:anchorId="7A75EEDF" wp14:editId="1959CE8F">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235">
      <w:rPr>
        <w:noProof/>
        <w:szCs w:val="16"/>
      </w:rPr>
      <w:t>Formules de calcul de l’engagement par conversion des contrats financiers standards en valeur de marché de la position équivalente sur l’actif sous-jacent</w:t>
    </w:r>
    <w:r w:rsidR="00BF39DA" w:rsidRPr="00A951BF">
      <w:t xml:space="preserve"> </w:t>
    </w:r>
    <w:r w:rsidR="00BF39DA">
      <w:t>–</w:t>
    </w:r>
    <w:r w:rsidR="00BF39DA" w:rsidRPr="003A01BF">
      <w:rPr>
        <w:szCs w:val="16"/>
      </w:rPr>
      <w:t xml:space="preserve"> </w:t>
    </w:r>
    <w:r w:rsidR="00236235">
      <w:rPr>
        <w:szCs w:val="16"/>
      </w:rPr>
      <w:t xml:space="preserve">Annexe </w:t>
    </w:r>
    <w:r w:rsidR="00BF39DA">
      <w:rPr>
        <w:szCs w:val="16"/>
      </w:rPr>
      <w:t>I</w:t>
    </w:r>
    <w:r w:rsidR="00236235">
      <w:rPr>
        <w:szCs w:val="16"/>
      </w:rPr>
      <w:t xml:space="preserve"> de l’instruction n° 2011-15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A" w:rsidRDefault="00E94580">
    <w:pPr>
      <w:pStyle w:val="En-tte"/>
    </w:pPr>
    <w:r>
      <w:rPr>
        <w:noProof/>
      </w:rPr>
      <w:drawing>
        <wp:anchor distT="0" distB="0" distL="114300" distR="114300" simplePos="0" relativeHeight="251658240" behindDoc="0" locked="0" layoutInCell="1" allowOverlap="1">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324F4C"/>
    <w:lvl w:ilvl="0">
      <w:numFmt w:val="bullet"/>
      <w:lvlText w:val="*"/>
      <w:lvlJc w:val="left"/>
    </w:lvl>
  </w:abstractNum>
  <w:abstractNum w:abstractNumId="1">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3"/>
  </w:num>
  <w:num w:numId="5">
    <w:abstractNumId w:val="3"/>
  </w:num>
  <w:num w:numId="6">
    <w:abstractNumId w:val="3"/>
  </w:num>
  <w:num w:numId="7">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2"/>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20A47"/>
    <w:rsid w:val="00027626"/>
    <w:rsid w:val="00036098"/>
    <w:rsid w:val="00044F3C"/>
    <w:rsid w:val="00076042"/>
    <w:rsid w:val="00085291"/>
    <w:rsid w:val="000A047D"/>
    <w:rsid w:val="000B6A60"/>
    <w:rsid w:val="000C50E8"/>
    <w:rsid w:val="000E1570"/>
    <w:rsid w:val="00134785"/>
    <w:rsid w:val="001420C6"/>
    <w:rsid w:val="00142345"/>
    <w:rsid w:val="00163A04"/>
    <w:rsid w:val="00167465"/>
    <w:rsid w:val="00184E77"/>
    <w:rsid w:val="0018617B"/>
    <w:rsid w:val="00197710"/>
    <w:rsid w:val="001A2EAA"/>
    <w:rsid w:val="001B338E"/>
    <w:rsid w:val="001B6B35"/>
    <w:rsid w:val="001C34E7"/>
    <w:rsid w:val="001C72F4"/>
    <w:rsid w:val="001D39C5"/>
    <w:rsid w:val="001E386C"/>
    <w:rsid w:val="001F7921"/>
    <w:rsid w:val="0021426E"/>
    <w:rsid w:val="00220079"/>
    <w:rsid w:val="00236235"/>
    <w:rsid w:val="002449BD"/>
    <w:rsid w:val="00245C1E"/>
    <w:rsid w:val="0024691B"/>
    <w:rsid w:val="0025322C"/>
    <w:rsid w:val="0025453E"/>
    <w:rsid w:val="00257248"/>
    <w:rsid w:val="002577FD"/>
    <w:rsid w:val="00263FE8"/>
    <w:rsid w:val="002755C9"/>
    <w:rsid w:val="002C60E8"/>
    <w:rsid w:val="002D2678"/>
    <w:rsid w:val="002D57A4"/>
    <w:rsid w:val="002E2273"/>
    <w:rsid w:val="002E38B4"/>
    <w:rsid w:val="002E5019"/>
    <w:rsid w:val="002F5EF0"/>
    <w:rsid w:val="00304E24"/>
    <w:rsid w:val="00321843"/>
    <w:rsid w:val="0032281A"/>
    <w:rsid w:val="00322E2B"/>
    <w:rsid w:val="0032306F"/>
    <w:rsid w:val="00333AC3"/>
    <w:rsid w:val="0033556A"/>
    <w:rsid w:val="00340BD7"/>
    <w:rsid w:val="00341508"/>
    <w:rsid w:val="003466B9"/>
    <w:rsid w:val="00355497"/>
    <w:rsid w:val="00363DDE"/>
    <w:rsid w:val="00374A3E"/>
    <w:rsid w:val="00377554"/>
    <w:rsid w:val="003865D5"/>
    <w:rsid w:val="00393AB5"/>
    <w:rsid w:val="003A01BF"/>
    <w:rsid w:val="003A3DBA"/>
    <w:rsid w:val="003B7DA4"/>
    <w:rsid w:val="003C5DF9"/>
    <w:rsid w:val="003E65CE"/>
    <w:rsid w:val="003E71C7"/>
    <w:rsid w:val="00413CA3"/>
    <w:rsid w:val="00415E72"/>
    <w:rsid w:val="0042410B"/>
    <w:rsid w:val="00431165"/>
    <w:rsid w:val="00433BB1"/>
    <w:rsid w:val="00455599"/>
    <w:rsid w:val="004617E3"/>
    <w:rsid w:val="004737D3"/>
    <w:rsid w:val="00477F8B"/>
    <w:rsid w:val="004814A4"/>
    <w:rsid w:val="00495E36"/>
    <w:rsid w:val="00497AA8"/>
    <w:rsid w:val="004A7831"/>
    <w:rsid w:val="004B1A3B"/>
    <w:rsid w:val="004B3E5B"/>
    <w:rsid w:val="004C1780"/>
    <w:rsid w:val="004C1952"/>
    <w:rsid w:val="004D00FC"/>
    <w:rsid w:val="004D64AD"/>
    <w:rsid w:val="004E51ED"/>
    <w:rsid w:val="004E771E"/>
    <w:rsid w:val="004F5960"/>
    <w:rsid w:val="0054496A"/>
    <w:rsid w:val="0055795E"/>
    <w:rsid w:val="005748B4"/>
    <w:rsid w:val="0057595C"/>
    <w:rsid w:val="005764BE"/>
    <w:rsid w:val="0058154B"/>
    <w:rsid w:val="00590F6F"/>
    <w:rsid w:val="0059682A"/>
    <w:rsid w:val="005A2524"/>
    <w:rsid w:val="005A2543"/>
    <w:rsid w:val="005A4194"/>
    <w:rsid w:val="005A5A5B"/>
    <w:rsid w:val="005A7800"/>
    <w:rsid w:val="005B2D20"/>
    <w:rsid w:val="005B4F2F"/>
    <w:rsid w:val="005C26F1"/>
    <w:rsid w:val="005C5770"/>
    <w:rsid w:val="005E4F8D"/>
    <w:rsid w:val="00601BF1"/>
    <w:rsid w:val="00604185"/>
    <w:rsid w:val="00641DC0"/>
    <w:rsid w:val="00657B40"/>
    <w:rsid w:val="0068702C"/>
    <w:rsid w:val="00692B21"/>
    <w:rsid w:val="006A1A0A"/>
    <w:rsid w:val="006C255E"/>
    <w:rsid w:val="006C45B2"/>
    <w:rsid w:val="006C4A03"/>
    <w:rsid w:val="006D3103"/>
    <w:rsid w:val="006D77DB"/>
    <w:rsid w:val="006E0721"/>
    <w:rsid w:val="006F7A29"/>
    <w:rsid w:val="00704E3E"/>
    <w:rsid w:val="00717D44"/>
    <w:rsid w:val="007208A7"/>
    <w:rsid w:val="007415B2"/>
    <w:rsid w:val="007435DA"/>
    <w:rsid w:val="00744425"/>
    <w:rsid w:val="00745AFB"/>
    <w:rsid w:val="0074672E"/>
    <w:rsid w:val="00765A59"/>
    <w:rsid w:val="00770D55"/>
    <w:rsid w:val="007731B4"/>
    <w:rsid w:val="00777A27"/>
    <w:rsid w:val="00780098"/>
    <w:rsid w:val="007925F8"/>
    <w:rsid w:val="007A0127"/>
    <w:rsid w:val="007A3D4C"/>
    <w:rsid w:val="007A7558"/>
    <w:rsid w:val="007D49C2"/>
    <w:rsid w:val="007F1235"/>
    <w:rsid w:val="007F51C2"/>
    <w:rsid w:val="00805F2F"/>
    <w:rsid w:val="00807E98"/>
    <w:rsid w:val="00830344"/>
    <w:rsid w:val="00835784"/>
    <w:rsid w:val="008510A2"/>
    <w:rsid w:val="00860CA9"/>
    <w:rsid w:val="00863BF5"/>
    <w:rsid w:val="00875DC7"/>
    <w:rsid w:val="008863FB"/>
    <w:rsid w:val="00891583"/>
    <w:rsid w:val="00895538"/>
    <w:rsid w:val="008B4659"/>
    <w:rsid w:val="008C101A"/>
    <w:rsid w:val="008E16FA"/>
    <w:rsid w:val="008E22BC"/>
    <w:rsid w:val="008E4D43"/>
    <w:rsid w:val="008F043C"/>
    <w:rsid w:val="008F15E2"/>
    <w:rsid w:val="008F5B0D"/>
    <w:rsid w:val="0095196D"/>
    <w:rsid w:val="0095301F"/>
    <w:rsid w:val="00955029"/>
    <w:rsid w:val="00957528"/>
    <w:rsid w:val="00957D82"/>
    <w:rsid w:val="00960CB2"/>
    <w:rsid w:val="00972A8F"/>
    <w:rsid w:val="00981F2F"/>
    <w:rsid w:val="009B3C86"/>
    <w:rsid w:val="009C6241"/>
    <w:rsid w:val="009E0393"/>
    <w:rsid w:val="009E4513"/>
    <w:rsid w:val="009F3168"/>
    <w:rsid w:val="009F4F3B"/>
    <w:rsid w:val="00A01783"/>
    <w:rsid w:val="00A06C26"/>
    <w:rsid w:val="00A119B8"/>
    <w:rsid w:val="00A27B37"/>
    <w:rsid w:val="00A51FCE"/>
    <w:rsid w:val="00A534DC"/>
    <w:rsid w:val="00A81E19"/>
    <w:rsid w:val="00A90938"/>
    <w:rsid w:val="00A951BF"/>
    <w:rsid w:val="00AB70DE"/>
    <w:rsid w:val="00AC627B"/>
    <w:rsid w:val="00AC7C70"/>
    <w:rsid w:val="00AD433F"/>
    <w:rsid w:val="00B174A3"/>
    <w:rsid w:val="00B32044"/>
    <w:rsid w:val="00B470CF"/>
    <w:rsid w:val="00B51842"/>
    <w:rsid w:val="00B71F46"/>
    <w:rsid w:val="00B838A9"/>
    <w:rsid w:val="00B95AF5"/>
    <w:rsid w:val="00B95CAC"/>
    <w:rsid w:val="00BB595B"/>
    <w:rsid w:val="00BD0D86"/>
    <w:rsid w:val="00BE401C"/>
    <w:rsid w:val="00BE5E44"/>
    <w:rsid w:val="00BE6477"/>
    <w:rsid w:val="00BE6D09"/>
    <w:rsid w:val="00BF0320"/>
    <w:rsid w:val="00BF291E"/>
    <w:rsid w:val="00BF39DA"/>
    <w:rsid w:val="00BF5F31"/>
    <w:rsid w:val="00C139DF"/>
    <w:rsid w:val="00C314F4"/>
    <w:rsid w:val="00C3160A"/>
    <w:rsid w:val="00C36E1A"/>
    <w:rsid w:val="00C458CF"/>
    <w:rsid w:val="00C67F6F"/>
    <w:rsid w:val="00C87218"/>
    <w:rsid w:val="00C87F23"/>
    <w:rsid w:val="00CB69C4"/>
    <w:rsid w:val="00CC7BB6"/>
    <w:rsid w:val="00CD3802"/>
    <w:rsid w:val="00CF0865"/>
    <w:rsid w:val="00CF585E"/>
    <w:rsid w:val="00D307F9"/>
    <w:rsid w:val="00D37A56"/>
    <w:rsid w:val="00D37C96"/>
    <w:rsid w:val="00D500FA"/>
    <w:rsid w:val="00D541F7"/>
    <w:rsid w:val="00D75F19"/>
    <w:rsid w:val="00D776EF"/>
    <w:rsid w:val="00D80A59"/>
    <w:rsid w:val="00D94C7A"/>
    <w:rsid w:val="00D95CBC"/>
    <w:rsid w:val="00DB2D59"/>
    <w:rsid w:val="00DB4ABE"/>
    <w:rsid w:val="00DC45D6"/>
    <w:rsid w:val="00DC46FC"/>
    <w:rsid w:val="00DD67B2"/>
    <w:rsid w:val="00DF7C85"/>
    <w:rsid w:val="00E05C8C"/>
    <w:rsid w:val="00E10861"/>
    <w:rsid w:val="00E11EDA"/>
    <w:rsid w:val="00E12C70"/>
    <w:rsid w:val="00E13ADF"/>
    <w:rsid w:val="00E238FF"/>
    <w:rsid w:val="00E30E6C"/>
    <w:rsid w:val="00E628CE"/>
    <w:rsid w:val="00E76F6A"/>
    <w:rsid w:val="00E76F7C"/>
    <w:rsid w:val="00E772D8"/>
    <w:rsid w:val="00E82583"/>
    <w:rsid w:val="00E92E39"/>
    <w:rsid w:val="00E94580"/>
    <w:rsid w:val="00E95D0E"/>
    <w:rsid w:val="00E97ACA"/>
    <w:rsid w:val="00EA7710"/>
    <w:rsid w:val="00EE1238"/>
    <w:rsid w:val="00EE3331"/>
    <w:rsid w:val="00EE720C"/>
    <w:rsid w:val="00EF406C"/>
    <w:rsid w:val="00F06CB6"/>
    <w:rsid w:val="00F36185"/>
    <w:rsid w:val="00F40398"/>
    <w:rsid w:val="00F4327F"/>
    <w:rsid w:val="00F510DE"/>
    <w:rsid w:val="00F6357E"/>
    <w:rsid w:val="00F651EB"/>
    <w:rsid w:val="00F730B1"/>
    <w:rsid w:val="00F81C3C"/>
    <w:rsid w:val="00F971D8"/>
    <w:rsid w:val="00FA02E7"/>
    <w:rsid w:val="00FA0BA5"/>
    <w:rsid w:val="00FA1992"/>
    <w:rsid w:val="00FB1B98"/>
    <w:rsid w:val="00FB452C"/>
    <w:rsid w:val="00FB4D48"/>
    <w:rsid w:val="00FC6EF2"/>
    <w:rsid w:val="00FD20AB"/>
    <w:rsid w:val="00FE58CB"/>
    <w:rsid w:val="00FE6056"/>
    <w:rsid w:val="00FE635B"/>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Note_college_DE_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Note_college_DE_Int</Template>
  <TotalTime>17</TotalTime>
  <Pages>1</Pages>
  <Words>317</Words>
  <Characters>1749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Note présentée au Collège</vt:lpstr>
    </vt:vector>
  </TitlesOfParts>
  <Company>AMF</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présentée au Collège</dc:title>
  <dc:creator>VCartier</dc:creator>
  <cp:lastModifiedBy>BIET-MEUNIER Fanny</cp:lastModifiedBy>
  <cp:revision>12</cp:revision>
  <cp:lastPrinted>2014-01-22T07:43:00Z</cp:lastPrinted>
  <dcterms:created xsi:type="dcterms:W3CDTF">2014-01-20T16:09:00Z</dcterms:created>
  <dcterms:modified xsi:type="dcterms:W3CDTF">2014-01-29T07:54:00Z</dcterms:modified>
  <cp:category>Interne</cp:category>
</cp:coreProperties>
</file>